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F955"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0D15971B" wp14:editId="105295A4">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1F5330D" w14:textId="77777777" w:rsidR="002E13EE" w:rsidRDefault="002E13EE" w:rsidP="002D50E6">
      <w:pPr>
        <w:pStyle w:val="Textebrut"/>
        <w:rPr>
          <w:rFonts w:asciiTheme="minorHAnsi" w:hAnsiTheme="minorHAnsi" w:cstheme="minorHAnsi"/>
          <w:b/>
          <w:sz w:val="32"/>
          <w:szCs w:val="32"/>
          <w:u w:val="single"/>
        </w:rPr>
      </w:pPr>
    </w:p>
    <w:p w14:paraId="66B47F9E" w14:textId="77777777" w:rsidR="002E13EE" w:rsidRDefault="002E13EE" w:rsidP="002D50E6">
      <w:pPr>
        <w:pStyle w:val="Textebrut"/>
        <w:rPr>
          <w:rFonts w:asciiTheme="minorHAnsi" w:hAnsiTheme="minorHAnsi" w:cstheme="minorHAnsi"/>
          <w:b/>
          <w:sz w:val="32"/>
          <w:szCs w:val="32"/>
          <w:u w:val="single"/>
        </w:rPr>
      </w:pPr>
    </w:p>
    <w:p w14:paraId="3590C104" w14:textId="77777777" w:rsidR="002E13EE" w:rsidRDefault="002E13EE" w:rsidP="002D50E6">
      <w:pPr>
        <w:pStyle w:val="Textebrut"/>
        <w:rPr>
          <w:rFonts w:asciiTheme="minorHAnsi" w:hAnsiTheme="minorHAnsi" w:cstheme="minorHAnsi"/>
          <w:b/>
          <w:sz w:val="32"/>
          <w:szCs w:val="32"/>
          <w:u w:val="single"/>
        </w:rPr>
      </w:pPr>
    </w:p>
    <w:p w14:paraId="0D499085"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279D4708" w14:textId="77777777" w:rsidTr="00BA5B90">
        <w:tc>
          <w:tcPr>
            <w:tcW w:w="2932" w:type="dxa"/>
            <w:tcBorders>
              <w:top w:val="single" w:sz="4" w:space="0" w:color="000000"/>
              <w:left w:val="single" w:sz="4" w:space="0" w:color="000000"/>
              <w:bottom w:val="single" w:sz="4" w:space="0" w:color="000000"/>
              <w:right w:val="single" w:sz="4" w:space="0" w:color="000000"/>
            </w:tcBorders>
          </w:tcPr>
          <w:p w14:paraId="5A39FE87" w14:textId="77777777" w:rsidR="002D50E6" w:rsidRPr="0097037A" w:rsidRDefault="002D50E6" w:rsidP="00BA5B90">
            <w:pPr>
              <w:snapToGrid w:val="0"/>
              <w:ind w:right="252"/>
              <w:rPr>
                <w:rFonts w:ascii="Calibri" w:hAnsi="Calibri"/>
                <w:sz w:val="18"/>
              </w:rPr>
            </w:pPr>
            <w:r w:rsidRPr="0097037A">
              <w:rPr>
                <w:rFonts w:ascii="Calibri" w:hAnsi="Calibri"/>
                <w:sz w:val="18"/>
              </w:rPr>
              <w:t>numéro de répertoire</w:t>
            </w:r>
          </w:p>
          <w:p w14:paraId="7DE6746E" w14:textId="77777777" w:rsidR="002D50E6" w:rsidRPr="0097037A" w:rsidRDefault="002D50E6" w:rsidP="00BA5B90">
            <w:pPr>
              <w:ind w:right="252"/>
              <w:rPr>
                <w:rFonts w:ascii="Calibri" w:hAnsi="Calibri"/>
                <w:sz w:val="16"/>
                <w:szCs w:val="16"/>
              </w:rPr>
            </w:pPr>
          </w:p>
          <w:p w14:paraId="0D0D95AD" w14:textId="77777777" w:rsidR="002D50E6" w:rsidRPr="0097037A" w:rsidRDefault="00B479B2" w:rsidP="00BA5B90">
            <w:pPr>
              <w:rPr>
                <w:rFonts w:ascii="Calibri" w:hAnsi="Calibri"/>
                <w:b/>
                <w:bCs/>
              </w:rPr>
            </w:pPr>
            <w:r>
              <w:rPr>
                <w:rFonts w:ascii="Calibri" w:hAnsi="Calibri"/>
                <w:b/>
                <w:bCs/>
              </w:rPr>
              <w:t>2022</w:t>
            </w:r>
            <w:r w:rsidR="002D50E6" w:rsidRPr="0097037A">
              <w:rPr>
                <w:rFonts w:ascii="Calibri" w:hAnsi="Calibri"/>
                <w:b/>
                <w:bCs/>
              </w:rPr>
              <w:t>/</w:t>
            </w:r>
          </w:p>
          <w:p w14:paraId="5D33CF1C" w14:textId="77777777" w:rsidR="002D50E6" w:rsidRPr="0097037A" w:rsidRDefault="002D50E6" w:rsidP="00BA5B90">
            <w:pPr>
              <w:rPr>
                <w:rFonts w:ascii="Calibri" w:hAnsi="Calibri"/>
                <w:sz w:val="16"/>
                <w:szCs w:val="16"/>
              </w:rPr>
            </w:pPr>
          </w:p>
        </w:tc>
      </w:tr>
      <w:tr w:rsidR="002D50E6" w:rsidRPr="0063600A" w14:paraId="5DFD75C5" w14:textId="77777777" w:rsidTr="00BA5B90">
        <w:tc>
          <w:tcPr>
            <w:tcW w:w="2932" w:type="dxa"/>
            <w:tcBorders>
              <w:top w:val="single" w:sz="4" w:space="0" w:color="000000"/>
              <w:left w:val="single" w:sz="4" w:space="0" w:color="000000"/>
              <w:bottom w:val="single" w:sz="4" w:space="0" w:color="000000"/>
              <w:right w:val="single" w:sz="4" w:space="0" w:color="000000"/>
            </w:tcBorders>
          </w:tcPr>
          <w:p w14:paraId="57BAB9EC" w14:textId="77777777" w:rsidR="002D50E6" w:rsidRPr="0097037A" w:rsidRDefault="002D50E6" w:rsidP="00BA5B90">
            <w:pPr>
              <w:snapToGrid w:val="0"/>
              <w:ind w:right="252"/>
              <w:rPr>
                <w:rFonts w:ascii="Calibri" w:hAnsi="Calibri"/>
                <w:sz w:val="18"/>
              </w:rPr>
            </w:pPr>
            <w:r>
              <w:rPr>
                <w:rFonts w:ascii="Calibri" w:hAnsi="Calibri"/>
                <w:sz w:val="18"/>
              </w:rPr>
              <w:t>date du jugement</w:t>
            </w:r>
          </w:p>
          <w:p w14:paraId="317B7F88" w14:textId="77777777" w:rsidR="002D50E6" w:rsidRPr="0097037A" w:rsidRDefault="002D50E6" w:rsidP="00BA5B90">
            <w:pPr>
              <w:rPr>
                <w:rFonts w:ascii="Calibri" w:hAnsi="Calibri"/>
                <w:b/>
              </w:rPr>
            </w:pPr>
          </w:p>
          <w:p w14:paraId="69D8545A" w14:textId="77777777" w:rsidR="002D50E6" w:rsidRPr="0097037A" w:rsidRDefault="009A0B7B" w:rsidP="00BA5B90">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10-10T00:00:00Z">
                  <w:dateFormat w:val="dd/MM/yyyy"/>
                  <w:lid w:val="fr-BE"/>
                  <w:storeMappedDataAs w:val="dateTime"/>
                  <w:calendar w:val="gregorian"/>
                </w:date>
              </w:sdtPr>
              <w:sdtEndPr/>
              <w:sdtContent>
                <w:r w:rsidR="00723376">
                  <w:rPr>
                    <w:rFonts w:asciiTheme="minorHAnsi" w:hAnsiTheme="minorHAnsi" w:cstheme="minorHAnsi"/>
                    <w:b/>
                    <w:sz w:val="32"/>
                    <w:szCs w:val="32"/>
                    <w:u w:val="single"/>
                  </w:rPr>
                  <w:t>10/10/2022</w:t>
                </w:r>
              </w:sdtContent>
            </w:sdt>
            <w:r w:rsidR="00F30CB5" w:rsidRPr="0097037A">
              <w:rPr>
                <w:rFonts w:ascii="Calibri" w:hAnsi="Calibri"/>
                <w:b/>
              </w:rPr>
              <w:t xml:space="preserve"> </w:t>
            </w:r>
          </w:p>
          <w:p w14:paraId="2B28F9A2" w14:textId="77777777" w:rsidR="002D50E6" w:rsidRPr="0097037A" w:rsidRDefault="002D50E6" w:rsidP="00BA5B90">
            <w:pPr>
              <w:rPr>
                <w:rFonts w:ascii="Calibri" w:hAnsi="Calibri"/>
                <w:sz w:val="16"/>
                <w:szCs w:val="16"/>
              </w:rPr>
            </w:pPr>
          </w:p>
        </w:tc>
      </w:tr>
      <w:tr w:rsidR="002D50E6" w:rsidRPr="0097037A" w14:paraId="5035EF8A" w14:textId="77777777" w:rsidTr="00BA5B90">
        <w:tc>
          <w:tcPr>
            <w:tcW w:w="2932" w:type="dxa"/>
            <w:tcBorders>
              <w:top w:val="single" w:sz="4" w:space="0" w:color="000000"/>
              <w:left w:val="single" w:sz="4" w:space="0" w:color="000000"/>
              <w:bottom w:val="single" w:sz="4" w:space="0" w:color="000000"/>
              <w:right w:val="single" w:sz="4" w:space="0" w:color="000000"/>
            </w:tcBorders>
          </w:tcPr>
          <w:p w14:paraId="5F9BF010" w14:textId="77777777" w:rsidR="002D50E6" w:rsidRPr="0097037A" w:rsidRDefault="002D50E6" w:rsidP="00BA5B90">
            <w:pPr>
              <w:snapToGrid w:val="0"/>
              <w:ind w:right="252"/>
              <w:rPr>
                <w:rFonts w:ascii="Calibri" w:hAnsi="Calibri"/>
                <w:sz w:val="18"/>
              </w:rPr>
            </w:pPr>
            <w:r w:rsidRPr="0097037A">
              <w:rPr>
                <w:rFonts w:ascii="Calibri" w:hAnsi="Calibri"/>
                <w:sz w:val="18"/>
              </w:rPr>
              <w:t>numéro de rôle</w:t>
            </w:r>
          </w:p>
          <w:p w14:paraId="7C558C6C" w14:textId="77777777" w:rsidR="002D50E6" w:rsidRPr="004D4CC3" w:rsidRDefault="002D50E6" w:rsidP="00BA5B90">
            <w:pPr>
              <w:ind w:right="252"/>
              <w:rPr>
                <w:rFonts w:ascii="Calibri" w:hAnsi="Calibri"/>
                <w:sz w:val="18"/>
                <w:szCs w:val="18"/>
              </w:rPr>
            </w:pPr>
          </w:p>
          <w:p w14:paraId="78F8F9AD" w14:textId="77777777" w:rsidR="002D50E6" w:rsidRPr="004D4CC3" w:rsidRDefault="002D50E6" w:rsidP="00BA5B90">
            <w:pPr>
              <w:rPr>
                <w:rFonts w:ascii="Calibri" w:hAnsi="Calibri"/>
                <w:b/>
                <w:sz w:val="20"/>
                <w:szCs w:val="20"/>
              </w:rPr>
            </w:pPr>
            <w:r w:rsidRPr="007928BF">
              <w:rPr>
                <w:rFonts w:ascii="Calibri" w:hAnsi="Calibri" w:cs="Calibri"/>
                <w:b/>
                <w:bCs/>
                <w:szCs w:val="22"/>
              </w:rPr>
              <w:t>R.G. : 21/ 885/ A</w:t>
            </w:r>
            <w:r w:rsidRPr="004D4CC3">
              <w:rPr>
                <w:rFonts w:ascii="Calibri" w:hAnsi="Calibri"/>
                <w:b/>
                <w:sz w:val="20"/>
                <w:szCs w:val="20"/>
              </w:rPr>
              <w:t xml:space="preserve"> </w:t>
            </w:r>
          </w:p>
          <w:p w14:paraId="028F582A" w14:textId="77777777" w:rsidR="002D50E6" w:rsidRPr="0097037A" w:rsidRDefault="002D50E6" w:rsidP="00BA5B90">
            <w:pPr>
              <w:rPr>
                <w:rFonts w:ascii="Calibri" w:hAnsi="Calibri"/>
                <w:sz w:val="16"/>
                <w:szCs w:val="16"/>
              </w:rPr>
            </w:pPr>
          </w:p>
        </w:tc>
      </w:tr>
    </w:tbl>
    <w:p w14:paraId="40336863"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46BEB2E3" w14:textId="77777777" w:rsidTr="00BB2F46">
        <w:trPr>
          <w:trHeight w:val="4428"/>
        </w:trPr>
        <w:tc>
          <w:tcPr>
            <w:tcW w:w="5544" w:type="dxa"/>
          </w:tcPr>
          <w:p w14:paraId="0F3873FC"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1C4E4AAB" w14:textId="77777777" w:rsidTr="00BA5B90">
              <w:trPr>
                <w:trHeight w:val="1871"/>
              </w:trPr>
              <w:tc>
                <w:tcPr>
                  <w:tcW w:w="2256" w:type="dxa"/>
                  <w:tcBorders>
                    <w:top w:val="single" w:sz="4" w:space="0" w:color="808080"/>
                    <w:left w:val="single" w:sz="4" w:space="0" w:color="808080"/>
                    <w:bottom w:val="single" w:sz="4" w:space="0" w:color="808080"/>
                  </w:tcBorders>
                  <w:vAlign w:val="center"/>
                </w:tcPr>
                <w:p w14:paraId="03C6521B" w14:textId="77777777" w:rsidR="00BB2F46" w:rsidRPr="0097037A" w:rsidRDefault="00BB2F46" w:rsidP="009A0B7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6A489B31"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p>
                <w:p w14:paraId="7E768847"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p>
                <w:p w14:paraId="24571810"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p>
                <w:p w14:paraId="3C42D27D"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p>
                <w:p w14:paraId="6A91D37C"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p>
                <w:p w14:paraId="776B2039"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63C0254A"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5D636804" w14:textId="77777777" w:rsidR="00BB2F46" w:rsidRPr="0097037A" w:rsidRDefault="00BB2F46" w:rsidP="009A0B7B">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499A3D04" w14:textId="77777777" w:rsidR="00BB2F46" w:rsidRPr="0097037A" w:rsidRDefault="00BB2F46" w:rsidP="009A0B7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3D239AF2"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p>
                <w:p w14:paraId="19FBFD40"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p>
                <w:p w14:paraId="732F30BA"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p>
                <w:p w14:paraId="746D3D6A"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p>
                <w:p w14:paraId="1DD9F070"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p>
                <w:p w14:paraId="4CE9C5F0"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F5B6C71"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315C063D" w14:textId="77777777" w:rsidR="00BB2F46" w:rsidRPr="0097037A" w:rsidRDefault="00BB2F46" w:rsidP="009A0B7B">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32682E2C" w14:textId="77777777" w:rsidR="00BB2F46" w:rsidRPr="0097037A" w:rsidRDefault="00BB2F46" w:rsidP="009A0B7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61C029EB"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p>
                <w:p w14:paraId="241517B5"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p>
                <w:p w14:paraId="583B2D7B"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p>
                <w:p w14:paraId="714CA065"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p>
                <w:p w14:paraId="23B2454B"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p>
                <w:p w14:paraId="091918CE"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2D9400C" w14:textId="77777777" w:rsidR="00BB2F46" w:rsidRPr="0097037A" w:rsidRDefault="00BB2F46" w:rsidP="009A0B7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037AE275" w14:textId="77777777" w:rsidR="00BB2F46" w:rsidRPr="0097037A" w:rsidRDefault="00BB2F46" w:rsidP="009A0B7B">
                  <w:pPr>
                    <w:framePr w:hSpace="141" w:wrap="around" w:vAnchor="text" w:hAnchor="text" w:x="3205" w:y="-3719"/>
                    <w:rPr>
                      <w:rFonts w:ascii="Calibri" w:eastAsia="SimSun" w:hAnsi="Calibri" w:cs="Times New Roman"/>
                      <w:color w:val="808080"/>
                      <w:sz w:val="8"/>
                      <w:szCs w:val="8"/>
                    </w:rPr>
                  </w:pPr>
                </w:p>
              </w:tc>
            </w:tr>
          </w:tbl>
          <w:p w14:paraId="02934363" w14:textId="77777777" w:rsidR="00BB2F46" w:rsidRDefault="00BB2F46" w:rsidP="00BB2F46"/>
          <w:p w14:paraId="668CE875" w14:textId="77777777" w:rsidR="00BB2F46" w:rsidRDefault="00BB2F46" w:rsidP="00BB2F46"/>
        </w:tc>
      </w:tr>
    </w:tbl>
    <w:p w14:paraId="1CE18BE7" w14:textId="77777777" w:rsidR="002D50E6" w:rsidRPr="0097037A" w:rsidRDefault="002D50E6" w:rsidP="002D50E6"/>
    <w:p w14:paraId="13C0E3CE"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31345A17" w14:textId="77777777" w:rsidTr="00BA5B90">
        <w:tc>
          <w:tcPr>
            <w:tcW w:w="389" w:type="dxa"/>
            <w:vAlign w:val="center"/>
          </w:tcPr>
          <w:p w14:paraId="69F002DE" w14:textId="77777777" w:rsidR="002D50E6" w:rsidRPr="0097037A" w:rsidRDefault="002D50E6" w:rsidP="00BA5B90">
            <w:pPr>
              <w:snapToGrid w:val="0"/>
              <w:ind w:left="-113"/>
              <w:rPr>
                <w:rFonts w:ascii="Wingdings" w:hAnsi="Wingdings"/>
                <w:sz w:val="32"/>
              </w:rPr>
            </w:pPr>
            <w:r w:rsidRPr="0097037A">
              <w:rPr>
                <w:rFonts w:ascii="Wingdings" w:hAnsi="Wingdings"/>
                <w:sz w:val="32"/>
              </w:rPr>
              <w:t></w:t>
            </w:r>
          </w:p>
        </w:tc>
        <w:tc>
          <w:tcPr>
            <w:tcW w:w="2419" w:type="dxa"/>
            <w:vAlign w:val="center"/>
          </w:tcPr>
          <w:p w14:paraId="37AADEDB" w14:textId="77777777" w:rsidR="002D50E6" w:rsidRPr="0097037A" w:rsidRDefault="002D50E6" w:rsidP="00BA5B90">
            <w:pPr>
              <w:snapToGrid w:val="0"/>
              <w:rPr>
                <w:rFonts w:ascii="Calibri" w:hAnsi="Calibri"/>
                <w:sz w:val="18"/>
              </w:rPr>
            </w:pPr>
            <w:r w:rsidRPr="0097037A">
              <w:rPr>
                <w:rFonts w:ascii="Calibri" w:hAnsi="Calibri"/>
                <w:sz w:val="18"/>
              </w:rPr>
              <w:t>ne pas présenter à l’inspecteur</w:t>
            </w:r>
          </w:p>
        </w:tc>
      </w:tr>
    </w:tbl>
    <w:p w14:paraId="4070F8BA"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46794AA1" w14:textId="77777777" w:rsidTr="002E13EE">
        <w:trPr>
          <w:gridBefore w:val="2"/>
          <w:wBefore w:w="3768" w:type="dxa"/>
          <w:trHeight w:val="5155"/>
        </w:trPr>
        <w:tc>
          <w:tcPr>
            <w:tcW w:w="5460" w:type="dxa"/>
          </w:tcPr>
          <w:p w14:paraId="4902BF47"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0970DA1E" w14:textId="77777777" w:rsidR="00BB2F46" w:rsidRPr="0097037A" w:rsidRDefault="00BB2F46" w:rsidP="00BB2F46">
            <w:pPr>
              <w:pStyle w:val="Plattetekstinspringen2"/>
              <w:ind w:left="0"/>
              <w:rPr>
                <w:rFonts w:ascii="Calibri" w:hAnsi="Calibri"/>
                <w:b/>
                <w:sz w:val="36"/>
                <w:szCs w:val="36"/>
                <w:lang w:val="fr-BE"/>
              </w:rPr>
            </w:pPr>
          </w:p>
          <w:p w14:paraId="496C63C6"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5E3C8994" w14:textId="77777777" w:rsidR="00BB2F46" w:rsidRPr="0097037A" w:rsidRDefault="00BB2F46" w:rsidP="00BB2F46">
            <w:pPr>
              <w:rPr>
                <w:rFonts w:ascii="Calibri" w:hAnsi="Calibri"/>
                <w:sz w:val="36"/>
                <w:szCs w:val="36"/>
              </w:rPr>
            </w:pPr>
          </w:p>
          <w:p w14:paraId="5376ED1F" w14:textId="77777777" w:rsidR="00BB2F46" w:rsidRPr="0097037A" w:rsidRDefault="00BB2F46" w:rsidP="00BB2F46">
            <w:pPr>
              <w:rPr>
                <w:rFonts w:ascii="Calibri" w:hAnsi="Calibri"/>
                <w:sz w:val="36"/>
                <w:szCs w:val="36"/>
              </w:rPr>
            </w:pPr>
            <w:r w:rsidRPr="0097037A">
              <w:rPr>
                <w:rFonts w:ascii="Calibri" w:hAnsi="Calibri"/>
                <w:sz w:val="36"/>
                <w:szCs w:val="36"/>
              </w:rPr>
              <w:t xml:space="preserve"> </w:t>
            </w:r>
            <w:r w:rsidR="00723376">
              <w:rPr>
                <w:rFonts w:ascii="Calibri" w:hAnsi="Calibri" w:cs="Calibri"/>
                <w:b/>
                <w:sz w:val="32"/>
                <w:szCs w:val="32"/>
                <w:u w:val="single"/>
              </w:rPr>
              <w:t>Troisième chambre</w:t>
            </w:r>
          </w:p>
          <w:p w14:paraId="1473AFDB" w14:textId="77777777" w:rsidR="00BB2F46" w:rsidRDefault="00BB2F46" w:rsidP="00BB2F46">
            <w:pPr>
              <w:rPr>
                <w:rFonts w:ascii="Calibri" w:hAnsi="Calibri"/>
                <w:sz w:val="36"/>
                <w:szCs w:val="36"/>
                <w:lang w:val="nl-NL"/>
              </w:rPr>
            </w:pPr>
          </w:p>
          <w:p w14:paraId="352E261F" w14:textId="77777777" w:rsidR="00BB2F46" w:rsidRDefault="00BB2F46" w:rsidP="002D50E6">
            <w:pPr>
              <w:pStyle w:val="Textebrut"/>
              <w:rPr>
                <w:rFonts w:asciiTheme="minorHAnsi" w:hAnsiTheme="minorHAnsi" w:cstheme="minorHAnsi"/>
                <w:b/>
                <w:sz w:val="32"/>
                <w:szCs w:val="32"/>
                <w:u w:val="single"/>
              </w:rPr>
            </w:pPr>
          </w:p>
        </w:tc>
      </w:tr>
      <w:tr w:rsidR="00BB2F46" w14:paraId="525FB66A" w14:textId="77777777" w:rsidTr="00BB2F46">
        <w:trPr>
          <w:gridAfter w:val="2"/>
          <w:wAfter w:w="5820" w:type="dxa"/>
          <w:trHeight w:val="936"/>
        </w:trPr>
        <w:tc>
          <w:tcPr>
            <w:tcW w:w="3408" w:type="dxa"/>
          </w:tcPr>
          <w:p w14:paraId="3630D463"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0A50A1E6" w14:textId="77777777" w:rsidR="00BB2F46" w:rsidRDefault="00BB2F46" w:rsidP="00BB2F46">
            <w:pPr>
              <w:pStyle w:val="Textebrut"/>
              <w:ind w:left="600"/>
              <w:rPr>
                <w:rFonts w:asciiTheme="minorHAnsi" w:hAnsiTheme="minorHAnsi" w:cstheme="minorHAnsi"/>
                <w:b/>
                <w:sz w:val="32"/>
                <w:szCs w:val="32"/>
                <w:u w:val="single"/>
              </w:rPr>
            </w:pPr>
          </w:p>
        </w:tc>
      </w:tr>
      <w:tr w:rsidR="00BB2F46" w14:paraId="0525EAB1" w14:textId="77777777" w:rsidTr="00BB2F46">
        <w:trPr>
          <w:gridAfter w:val="2"/>
          <w:wAfter w:w="5820" w:type="dxa"/>
          <w:trHeight w:val="936"/>
        </w:trPr>
        <w:tc>
          <w:tcPr>
            <w:tcW w:w="3408" w:type="dxa"/>
          </w:tcPr>
          <w:p w14:paraId="3CE5F3BF"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5CC4CE29" w14:textId="77777777" w:rsidR="00BB2F46" w:rsidRPr="0097037A" w:rsidRDefault="00BB2F46" w:rsidP="00BB2F46">
            <w:pPr>
              <w:snapToGrid w:val="0"/>
              <w:ind w:right="252"/>
              <w:rPr>
                <w:rFonts w:ascii="Calibri" w:hAnsi="Calibri"/>
                <w:sz w:val="18"/>
              </w:rPr>
            </w:pPr>
          </w:p>
        </w:tc>
      </w:tr>
    </w:tbl>
    <w:p w14:paraId="1AA93C14" w14:textId="77777777" w:rsidR="002A74D2" w:rsidRDefault="002A74D2" w:rsidP="002A74D2">
      <w:pPr>
        <w:rPr>
          <w:rFonts w:asciiTheme="minorHAnsi" w:hAnsiTheme="minorHAnsi" w:cstheme="minorHAnsi"/>
          <w:b/>
          <w:bCs/>
          <w:color w:val="000000" w:themeColor="text1"/>
          <w:sz w:val="22"/>
          <w:szCs w:val="22"/>
          <w:u w:val="single"/>
          <w:lang w:val="fr-FR" w:bidi="fr-BE"/>
        </w:rPr>
      </w:pPr>
      <w:bookmarkStart w:id="0" w:name="niveau"/>
    </w:p>
    <w:p w14:paraId="69729272"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6B690EAE"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38651F4C" w14:textId="77777777" w:rsidR="00B30870" w:rsidRDefault="00B30870" w:rsidP="002A74D2">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1A6E8AA4" w14:textId="77777777" w:rsidR="00B30870" w:rsidRDefault="00BA5B90" w:rsidP="00BA5B90">
      <w:pPr>
        <w:widowControl/>
        <w:ind w:left="1418"/>
        <w:jc w:val="both"/>
        <w:rPr>
          <w:rFonts w:asciiTheme="minorHAnsi" w:eastAsia="Arial" w:hAnsiTheme="minorHAnsi" w:cstheme="minorHAnsi"/>
          <w:color w:val="000000" w:themeColor="text1"/>
          <w:sz w:val="22"/>
          <w:szCs w:val="22"/>
          <w:lang w:bidi="fr-BE"/>
        </w:rPr>
      </w:pPr>
      <w:bookmarkStart w:id="1" w:name="demandeur"/>
      <w:r>
        <w:rPr>
          <w:rFonts w:asciiTheme="minorHAnsi" w:eastAsia="Arial" w:hAnsiTheme="minorHAnsi" w:cstheme="minorHAnsi"/>
          <w:b/>
          <w:bCs/>
          <w:color w:val="000000" w:themeColor="text1"/>
          <w:sz w:val="22"/>
          <w:szCs w:val="22"/>
          <w:lang w:bidi="fr-BE"/>
        </w:rPr>
        <w:t xml:space="preserve">Madame </w:t>
      </w:r>
      <w:r w:rsidR="00BB19D1">
        <w:rPr>
          <w:rFonts w:asciiTheme="minorHAnsi" w:eastAsia="Arial" w:hAnsiTheme="minorHAnsi" w:cstheme="minorHAnsi"/>
          <w:b/>
          <w:bCs/>
          <w:color w:val="000000" w:themeColor="text1"/>
          <w:sz w:val="22"/>
          <w:szCs w:val="22"/>
          <w:lang w:bidi="fr-BE"/>
        </w:rPr>
        <w:t>X</w:t>
      </w:r>
    </w:p>
    <w:p w14:paraId="1DC97BDD" w14:textId="77777777" w:rsidR="00B30870" w:rsidRDefault="00B30870" w:rsidP="00BA5B90">
      <w:pPr>
        <w:widowControl/>
        <w:ind w:left="1418"/>
        <w:jc w:val="both"/>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 xml:space="preserve"> </w:t>
      </w:r>
    </w:p>
    <w:p w14:paraId="55A18F4C" w14:textId="77777777" w:rsidR="00BA5B90" w:rsidRPr="00BA5B90" w:rsidRDefault="00B30870" w:rsidP="00BA5B90">
      <w:pPr>
        <w:ind w:left="1418"/>
        <w:jc w:val="both"/>
        <w:rPr>
          <w:rFonts w:asciiTheme="minorHAnsi" w:eastAsia="Arial" w:hAnsiTheme="minorHAnsi" w:cstheme="minorHAnsi"/>
          <w:sz w:val="22"/>
          <w:szCs w:val="22"/>
          <w:lang w:val="fr-FR"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w:t>
      </w:r>
      <w:r w:rsidR="00BA5B90" w:rsidRPr="00BA5B90">
        <w:rPr>
          <w:rFonts w:asciiTheme="minorHAnsi" w:eastAsia="Arial" w:hAnsiTheme="minorHAnsi" w:cstheme="minorHAnsi"/>
          <w:sz w:val="22"/>
          <w:szCs w:val="22"/>
          <w:lang w:bidi="fr-BE"/>
        </w:rPr>
        <w:t>représentée par Maître Lucie REYNKENS, avocate substituant son confrère Maître Stéphane ROBIDA, avocat à 4100 BONCELLES, Route du Condroz 61-63.</w:t>
      </w:r>
    </w:p>
    <w:p w14:paraId="3203316C" w14:textId="77777777" w:rsidR="00B30870" w:rsidRDefault="00B30870" w:rsidP="00B30870">
      <w:pPr>
        <w:widowControl/>
        <w:ind w:left="1350"/>
        <w:jc w:val="both"/>
        <w:rPr>
          <w:rFonts w:asciiTheme="minorHAnsi" w:eastAsia="Arial" w:hAnsiTheme="minorHAnsi" w:cstheme="minorHAnsi"/>
          <w:color w:val="000000" w:themeColor="text1"/>
          <w:sz w:val="22"/>
          <w:szCs w:val="22"/>
          <w:lang w:bidi="fr-BE"/>
        </w:rPr>
      </w:pPr>
    </w:p>
    <w:bookmarkEnd w:id="1"/>
    <w:p w14:paraId="3F8BDBC5" w14:textId="77777777" w:rsidR="00B30870" w:rsidRDefault="00B30870" w:rsidP="00B30870">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737ADEBE" w14:textId="77777777" w:rsidR="00BA5B90" w:rsidRPr="00BA5B90" w:rsidRDefault="00BA5B90" w:rsidP="00BA5B90">
      <w:pPr>
        <w:tabs>
          <w:tab w:val="left" w:pos="-2834"/>
          <w:tab w:val="left" w:pos="-2114"/>
          <w:tab w:val="left" w:pos="-1394"/>
          <w:tab w:val="left" w:pos="1432"/>
        </w:tabs>
        <w:spacing w:line="240" w:lineRule="atLeast"/>
        <w:ind w:left="1418" w:right="1" w:hanging="284"/>
        <w:jc w:val="both"/>
        <w:rPr>
          <w:rFonts w:asciiTheme="minorHAnsi" w:eastAsia="Arial" w:hAnsiTheme="minorHAnsi" w:cstheme="minorHAnsi"/>
          <w:b/>
          <w:bCs/>
          <w:color w:val="000000" w:themeColor="text1"/>
          <w:sz w:val="22"/>
          <w:szCs w:val="22"/>
          <w:lang w:val="fr-FR" w:bidi="fr-BE"/>
        </w:rPr>
      </w:pPr>
      <w:r>
        <w:rPr>
          <w:rFonts w:asciiTheme="minorHAnsi" w:hAnsiTheme="minorHAnsi" w:cstheme="minorHAnsi"/>
          <w:b/>
          <w:bCs/>
          <w:sz w:val="22"/>
          <w:szCs w:val="22"/>
          <w:lang w:val="fr-FR"/>
        </w:rPr>
        <w:t>1.</w:t>
      </w:r>
      <w:r>
        <w:rPr>
          <w:rFonts w:asciiTheme="minorHAnsi" w:hAnsiTheme="minorHAnsi" w:cstheme="minorHAnsi"/>
          <w:b/>
          <w:bCs/>
          <w:sz w:val="22"/>
          <w:szCs w:val="22"/>
          <w:lang w:val="fr-FR"/>
        </w:rPr>
        <w:tab/>
      </w:r>
      <w:r w:rsidRPr="00BA5B90">
        <w:rPr>
          <w:rFonts w:asciiTheme="minorHAnsi" w:hAnsiTheme="minorHAnsi" w:cstheme="minorHAnsi"/>
          <w:b/>
          <w:bCs/>
          <w:sz w:val="22"/>
          <w:szCs w:val="22"/>
          <w:lang w:val="fr-FR"/>
        </w:rPr>
        <w:t xml:space="preserve">Le FONDS </w:t>
      </w:r>
      <w:r w:rsidRPr="00BA5B90">
        <w:rPr>
          <w:rFonts w:asciiTheme="minorHAnsi" w:hAnsiTheme="minorHAnsi" w:cstheme="minorHAnsi"/>
          <w:b/>
          <w:bCs/>
          <w:caps/>
          <w:sz w:val="22"/>
          <w:szCs w:val="22"/>
          <w:lang w:val="fr-FR"/>
        </w:rPr>
        <w:t>d’indemnisation des travailleurs licenciés en cas de fermeture d’entreprises</w:t>
      </w:r>
      <w:r w:rsidRPr="00BA5B90">
        <w:rPr>
          <w:rFonts w:asciiTheme="minorHAnsi" w:hAnsiTheme="minorHAnsi" w:cstheme="minorHAnsi"/>
          <w:b/>
          <w:bCs/>
          <w:sz w:val="22"/>
          <w:szCs w:val="22"/>
          <w:lang w:val="fr-FR"/>
        </w:rPr>
        <w:t xml:space="preserve">, en abrégé F.F.E., </w:t>
      </w:r>
      <w:r w:rsidRPr="00BA5B90">
        <w:rPr>
          <w:rFonts w:asciiTheme="minorHAnsi" w:hAnsiTheme="minorHAnsi" w:cstheme="minorHAnsi"/>
          <w:bCs/>
          <w:sz w:val="22"/>
          <w:szCs w:val="22"/>
          <w:lang w:val="fr-FR"/>
        </w:rPr>
        <w:t xml:space="preserve">dont les bureaux sont établis à 1000 BRUXELLES, boulevard de l’Empereur, 7, </w:t>
      </w:r>
      <w:r w:rsidRPr="00BA5B90">
        <w:rPr>
          <w:rFonts w:asciiTheme="minorHAnsi" w:eastAsia="Arial" w:hAnsiTheme="minorHAnsi" w:cstheme="minorHAnsi"/>
          <w:bCs/>
          <w:color w:val="000000" w:themeColor="text1"/>
          <w:sz w:val="22"/>
          <w:szCs w:val="22"/>
          <w:lang w:val="fr-FR" w:bidi="fr-BE"/>
        </w:rPr>
        <w:t>inscrite à la BCE sous le n°</w:t>
      </w:r>
      <w:r w:rsidRPr="00BA5B90">
        <w:rPr>
          <w:rFonts w:asciiTheme="minorHAnsi" w:eastAsia="Arial" w:hAnsiTheme="minorHAnsi" w:cstheme="minorHAnsi"/>
          <w:b/>
          <w:bCs/>
          <w:color w:val="000000" w:themeColor="text1"/>
          <w:sz w:val="22"/>
          <w:szCs w:val="22"/>
          <w:lang w:val="fr-FR" w:bidi="fr-BE"/>
        </w:rPr>
        <w:t xml:space="preserve"> </w:t>
      </w:r>
      <w:r w:rsidRPr="00BA5B90">
        <w:rPr>
          <w:rFonts w:asciiTheme="minorHAnsi" w:eastAsia="Arial" w:hAnsiTheme="minorHAnsi" w:cstheme="minorHAnsi"/>
          <w:color w:val="000000" w:themeColor="text1"/>
          <w:sz w:val="22"/>
          <w:szCs w:val="22"/>
          <w:lang w:bidi="fr-BE"/>
        </w:rPr>
        <w:t>0216.380.274.</w:t>
      </w:r>
      <w:r w:rsidRPr="00BA5B90">
        <w:rPr>
          <w:rFonts w:asciiTheme="minorHAnsi" w:hAnsiTheme="minorHAnsi" w:cstheme="minorHAnsi"/>
          <w:sz w:val="22"/>
          <w:szCs w:val="22"/>
        </w:rPr>
        <w:fldChar w:fldCharType="begin"/>
      </w:r>
      <w:r w:rsidRPr="00BA5B90">
        <w:rPr>
          <w:rFonts w:asciiTheme="minorHAnsi" w:eastAsia="Arial" w:hAnsiTheme="minorHAnsi" w:cstheme="minorHAnsi"/>
          <w:b/>
          <w:bCs/>
          <w:color w:val="000000" w:themeColor="text1"/>
          <w:sz w:val="22"/>
          <w:szCs w:val="22"/>
          <w:lang w:val="fr-FR" w:bidi="fr-BE"/>
        </w:rPr>
        <w:instrText>fillin "" \d ""</w:instrText>
      </w:r>
      <w:r w:rsidRPr="00BA5B90">
        <w:rPr>
          <w:rFonts w:asciiTheme="minorHAnsi" w:hAnsiTheme="minorHAnsi" w:cstheme="minorHAnsi"/>
          <w:sz w:val="22"/>
          <w:szCs w:val="22"/>
        </w:rPr>
        <w:fldChar w:fldCharType="end"/>
      </w:r>
    </w:p>
    <w:p w14:paraId="4BC0187B" w14:textId="77777777" w:rsidR="00B30870" w:rsidRDefault="00B30870" w:rsidP="00B30870">
      <w:pPr>
        <w:widowControl/>
        <w:ind w:left="1418"/>
        <w:rPr>
          <w:rFonts w:asciiTheme="minorHAnsi" w:eastAsia="Arial" w:hAnsiTheme="minorHAnsi" w:cstheme="minorHAnsi"/>
          <w:color w:val="000000" w:themeColor="text1"/>
          <w:sz w:val="22"/>
          <w:szCs w:val="22"/>
          <w:lang w:bidi="fr-BE"/>
        </w:rPr>
      </w:pPr>
    </w:p>
    <w:p w14:paraId="23781175" w14:textId="77777777" w:rsidR="00BA5B90" w:rsidRPr="00E25026" w:rsidRDefault="00B30870" w:rsidP="00BA5B90">
      <w:pPr>
        <w:tabs>
          <w:tab w:val="left" w:pos="-2834"/>
          <w:tab w:val="left" w:pos="-2114"/>
          <w:tab w:val="left" w:pos="-1394"/>
          <w:tab w:val="left" w:pos="1432"/>
        </w:tabs>
        <w:spacing w:line="240" w:lineRule="atLeast"/>
        <w:ind w:left="1418" w:right="1"/>
        <w:jc w:val="both"/>
        <w:rPr>
          <w:rFonts w:ascii="Calibri" w:hAnsi="Calibri" w:cs="Calibri"/>
          <w:sz w:val="22"/>
          <w:szCs w:val="22"/>
          <w:lang w:val="fr-FR"/>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00BA5B90" w:rsidRPr="00E25026">
        <w:rPr>
          <w:rFonts w:ascii="Calibri" w:eastAsia="Arial" w:hAnsi="Calibri" w:cs="Calibri"/>
          <w:sz w:val="22"/>
          <w:szCs w:val="22"/>
          <w:lang w:bidi="fr-BE"/>
        </w:rPr>
        <w:t xml:space="preserve">représentée par Maître Alexandre BUCCO, avocat substituant sa consœur Maître </w:t>
      </w:r>
      <w:r w:rsidR="00BA5B90" w:rsidRPr="00E25026">
        <w:rPr>
          <w:rFonts w:ascii="Calibri" w:hAnsi="Calibri" w:cs="Calibri"/>
          <w:sz w:val="22"/>
          <w:szCs w:val="22"/>
          <w:lang w:val="fr-FR"/>
        </w:rPr>
        <w:t>Laurence WIGNY, avocate à 4000 LIEGE, rue de Joie, 17.</w:t>
      </w:r>
    </w:p>
    <w:p w14:paraId="50428920" w14:textId="77777777" w:rsidR="00BA5B90" w:rsidRDefault="00BA5B90" w:rsidP="00B30870">
      <w:pPr>
        <w:widowControl/>
        <w:ind w:left="1418"/>
        <w:jc w:val="both"/>
        <w:rPr>
          <w:rFonts w:asciiTheme="minorHAnsi" w:hAnsiTheme="minorHAnsi" w:cstheme="minorHAnsi"/>
          <w:b/>
          <w:bCs/>
          <w:color w:val="000000" w:themeColor="text1"/>
          <w:sz w:val="22"/>
          <w:szCs w:val="22"/>
          <w:u w:val="single"/>
          <w:lang w:val="fr-FR" w:bidi="fr-BE"/>
        </w:rPr>
      </w:pPr>
      <w:bookmarkStart w:id="2" w:name="defendeur"/>
    </w:p>
    <w:p w14:paraId="23935F60" w14:textId="77777777" w:rsidR="00BA5B90" w:rsidRDefault="00BA5B90" w:rsidP="00BA5B90">
      <w:pPr>
        <w:widowControl/>
        <w:ind w:left="1418" w:hanging="284"/>
        <w:jc w:val="both"/>
        <w:rPr>
          <w:rFonts w:asciiTheme="minorHAnsi" w:eastAsia="Arial" w:hAnsiTheme="minorHAnsi" w:cstheme="minorHAnsi"/>
          <w:color w:val="000000" w:themeColor="text1"/>
          <w:sz w:val="22"/>
          <w:szCs w:val="22"/>
          <w:lang w:bidi="fr-BE"/>
        </w:rPr>
      </w:pPr>
      <w:r>
        <w:rPr>
          <w:rFonts w:asciiTheme="minorHAnsi" w:eastAsia="Arial" w:hAnsiTheme="minorHAnsi" w:cstheme="minorHAnsi"/>
          <w:b/>
          <w:bCs/>
          <w:color w:val="000000" w:themeColor="text1"/>
          <w:sz w:val="22"/>
          <w:szCs w:val="22"/>
          <w:lang w:val="fr-FR" w:bidi="fr-BE"/>
        </w:rPr>
        <w:t>2.</w:t>
      </w:r>
      <w:r>
        <w:rPr>
          <w:rFonts w:asciiTheme="minorHAnsi" w:eastAsia="Arial" w:hAnsiTheme="minorHAnsi" w:cstheme="minorHAnsi"/>
          <w:b/>
          <w:bCs/>
          <w:color w:val="000000" w:themeColor="text1"/>
          <w:sz w:val="22"/>
          <w:szCs w:val="22"/>
          <w:lang w:val="fr-FR" w:bidi="fr-BE"/>
        </w:rPr>
        <w:tab/>
      </w:r>
      <w:r>
        <w:rPr>
          <w:rFonts w:asciiTheme="minorHAnsi" w:eastAsia="Arial" w:hAnsiTheme="minorHAnsi" w:cstheme="minorHAnsi"/>
          <w:b/>
          <w:bCs/>
          <w:color w:val="000000" w:themeColor="text1"/>
          <w:sz w:val="22"/>
          <w:szCs w:val="22"/>
          <w:lang w:bidi="fr-BE"/>
        </w:rPr>
        <w:t>La</w:t>
      </w:r>
      <w:r w:rsidR="00B30870">
        <w:rPr>
          <w:rFonts w:asciiTheme="minorHAnsi" w:eastAsia="Arial" w:hAnsiTheme="minorHAnsi" w:cstheme="minorHAnsi"/>
          <w:b/>
          <w:bCs/>
          <w:color w:val="000000" w:themeColor="text1"/>
          <w:sz w:val="22"/>
          <w:szCs w:val="22"/>
          <w:lang w:bidi="fr-BE"/>
        </w:rPr>
        <w:t xml:space="preserve"> </w:t>
      </w:r>
      <w:r>
        <w:rPr>
          <w:rFonts w:asciiTheme="minorHAnsi" w:eastAsia="Arial" w:hAnsiTheme="minorHAnsi" w:cstheme="minorHAnsi"/>
          <w:b/>
          <w:bCs/>
          <w:color w:val="000000" w:themeColor="text1"/>
          <w:sz w:val="22"/>
          <w:szCs w:val="22"/>
          <w:lang w:bidi="fr-BE"/>
        </w:rPr>
        <w:t xml:space="preserve">SRL </w:t>
      </w:r>
      <w:r w:rsidR="00BB19D1">
        <w:rPr>
          <w:rFonts w:asciiTheme="minorHAnsi" w:eastAsia="Arial" w:hAnsiTheme="minorHAnsi" w:cstheme="minorHAnsi"/>
          <w:b/>
          <w:bCs/>
          <w:color w:val="000000" w:themeColor="text1"/>
          <w:sz w:val="22"/>
          <w:szCs w:val="22"/>
          <w:lang w:bidi="fr-BE"/>
        </w:rPr>
        <w:t>Y</w:t>
      </w:r>
      <w:r w:rsidR="00B30870" w:rsidRPr="00BA5B90">
        <w:rPr>
          <w:rFonts w:asciiTheme="minorHAnsi" w:eastAsia="Arial" w:hAnsiTheme="minorHAnsi" w:cstheme="minorHAnsi"/>
          <w:sz w:val="22"/>
          <w:szCs w:val="22"/>
          <w:lang w:val="fr-FR" w:bidi="fr-BE"/>
        </w:rPr>
        <w:t xml:space="preserve">, </w:t>
      </w:r>
    </w:p>
    <w:p w14:paraId="67BEBC0A" w14:textId="77777777" w:rsidR="00B30870" w:rsidRDefault="00B30870" w:rsidP="00B30870">
      <w:pPr>
        <w:widowControl/>
        <w:ind w:left="1418"/>
        <w:rPr>
          <w:rFonts w:asciiTheme="minorHAnsi" w:eastAsia="Arial" w:hAnsiTheme="minorHAnsi" w:cstheme="minorHAnsi"/>
          <w:color w:val="000000" w:themeColor="text1"/>
          <w:sz w:val="22"/>
          <w:szCs w:val="22"/>
          <w:lang w:bidi="fr-BE"/>
        </w:rPr>
      </w:pPr>
    </w:p>
    <w:p w14:paraId="1B40C77E" w14:textId="77777777" w:rsidR="00BA5B90" w:rsidRPr="00BA5B90" w:rsidRDefault="00B30870" w:rsidP="00BA5B90">
      <w:pPr>
        <w:ind w:left="1418"/>
        <w:jc w:val="both"/>
        <w:rPr>
          <w:rFonts w:asciiTheme="minorHAnsi" w:eastAsia="Arial" w:hAnsiTheme="minorHAnsi" w:cstheme="minorHAnsi"/>
          <w:color w:val="000000" w:themeColor="text1"/>
          <w:sz w:val="16"/>
          <w:szCs w:val="16"/>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00BA5B90" w:rsidRPr="00BA5B90">
        <w:rPr>
          <w:rFonts w:asciiTheme="minorHAnsi" w:eastAsia="Arial" w:hAnsiTheme="minorHAnsi" w:cstheme="minorHAnsi"/>
          <w:sz w:val="22"/>
          <w:szCs w:val="22"/>
          <w:lang w:bidi="fr-BE"/>
        </w:rPr>
        <w:t>représentée par Maître</w:t>
      </w:r>
      <w:r w:rsidR="00BA5B90">
        <w:rPr>
          <w:rFonts w:asciiTheme="minorHAnsi" w:eastAsia="Arial" w:hAnsiTheme="minorHAnsi" w:cstheme="minorHAnsi"/>
          <w:sz w:val="22"/>
          <w:szCs w:val="22"/>
          <w:lang w:bidi="fr-BE"/>
        </w:rPr>
        <w:t xml:space="preserve"> Claire CORNEZ</w:t>
      </w:r>
      <w:r w:rsidR="00BA5B90" w:rsidRPr="00BA5B90">
        <w:rPr>
          <w:rFonts w:asciiTheme="minorHAnsi" w:eastAsia="Arial" w:hAnsiTheme="minorHAnsi" w:cstheme="minorHAnsi"/>
          <w:sz w:val="22"/>
          <w:szCs w:val="22"/>
          <w:lang w:bidi="fr-BE"/>
        </w:rPr>
        <w:t xml:space="preserve">, avocate substituant son confrère </w:t>
      </w:r>
      <w:bookmarkStart w:id="3" w:name="defavoc"/>
      <w:r w:rsidR="00FA456C">
        <w:rPr>
          <w:rFonts w:asciiTheme="minorHAnsi" w:eastAsia="Arial" w:hAnsiTheme="minorHAnsi" w:cstheme="minorHAnsi"/>
          <w:sz w:val="22"/>
          <w:szCs w:val="22"/>
          <w:lang w:bidi="fr-BE"/>
        </w:rPr>
        <w:t>Maître Vincent DELFOSSE, avocat</w:t>
      </w:r>
      <w:r w:rsidR="00BA5B90" w:rsidRPr="00BA5B90">
        <w:rPr>
          <w:rFonts w:asciiTheme="minorHAnsi" w:eastAsia="Arial" w:hAnsiTheme="minorHAnsi" w:cstheme="minorHAnsi"/>
          <w:sz w:val="22"/>
          <w:szCs w:val="22"/>
          <w:lang w:bidi="fr-BE"/>
        </w:rPr>
        <w:t xml:space="preserve"> à 4000 LIEGE, rue Beeckman 45</w:t>
      </w:r>
      <w:bookmarkEnd w:id="3"/>
      <w:r w:rsidR="00BA5B90" w:rsidRPr="00BA5B90">
        <w:rPr>
          <w:rFonts w:asciiTheme="minorHAnsi" w:eastAsia="Arial" w:hAnsiTheme="minorHAnsi" w:cstheme="minorHAnsi"/>
          <w:sz w:val="22"/>
          <w:szCs w:val="22"/>
          <w:lang w:bidi="fr-BE"/>
        </w:rPr>
        <w:t>.</w:t>
      </w:r>
    </w:p>
    <w:bookmarkEnd w:id="2"/>
    <w:p w14:paraId="1F31E9EB" w14:textId="77777777" w:rsidR="00B30870" w:rsidRDefault="00B30870" w:rsidP="00B30870">
      <w:pPr>
        <w:widowControl/>
        <w:jc w:val="both"/>
        <w:rPr>
          <w:rFonts w:asciiTheme="minorHAnsi" w:eastAsia="Arial" w:hAnsiTheme="minorHAnsi" w:cstheme="minorHAnsi"/>
          <w:color w:val="000000" w:themeColor="text1"/>
          <w:sz w:val="16"/>
          <w:szCs w:val="16"/>
          <w:lang w:bidi="fr-BE"/>
        </w:rPr>
      </w:pPr>
    </w:p>
    <w:bookmarkEnd w:id="0"/>
    <w:p w14:paraId="58E7983D" w14:textId="77777777" w:rsidR="00B30870" w:rsidRPr="00D5271B" w:rsidRDefault="00B30870" w:rsidP="00B30870">
      <w:pPr>
        <w:widowControl/>
        <w:jc w:val="both"/>
        <w:rPr>
          <w:rFonts w:asciiTheme="minorHAnsi" w:eastAsia="Arial" w:hAnsiTheme="minorHAnsi" w:cstheme="minorHAnsi"/>
          <w:color w:val="000000" w:themeColor="text1"/>
          <w:sz w:val="16"/>
          <w:szCs w:val="16"/>
          <w:lang w:bidi="fr-BE"/>
        </w:rPr>
      </w:pPr>
    </w:p>
    <w:p w14:paraId="47C83B05" w14:textId="77777777" w:rsidR="00B30870" w:rsidRPr="008A5ACB" w:rsidRDefault="00B30870" w:rsidP="00B30870">
      <w:pPr>
        <w:pStyle w:val="Textebrut"/>
        <w:pBdr>
          <w:top w:val="single" w:sz="4" w:space="1" w:color="auto"/>
        </w:pBdr>
        <w:tabs>
          <w:tab w:val="left" w:pos="1843"/>
        </w:tabs>
        <w:jc w:val="both"/>
        <w:rPr>
          <w:rFonts w:asciiTheme="minorHAnsi" w:hAnsiTheme="minorHAnsi" w:cstheme="minorHAnsi"/>
          <w:b/>
          <w:sz w:val="24"/>
          <w:szCs w:val="24"/>
          <w:u w:val="single"/>
        </w:rPr>
      </w:pPr>
    </w:p>
    <w:p w14:paraId="678D0701" w14:textId="77777777" w:rsidR="00B30870" w:rsidRPr="00BA5B90" w:rsidRDefault="00B30870" w:rsidP="00B30870">
      <w:pPr>
        <w:pStyle w:val="Textebrut"/>
        <w:tabs>
          <w:tab w:val="left" w:pos="1843"/>
        </w:tabs>
        <w:jc w:val="both"/>
        <w:rPr>
          <w:rFonts w:asciiTheme="minorHAnsi" w:hAnsiTheme="minorHAnsi" w:cstheme="minorHAnsi"/>
          <w:b/>
          <w:sz w:val="22"/>
          <w:szCs w:val="22"/>
          <w:u w:val="single"/>
        </w:rPr>
      </w:pPr>
      <w:r w:rsidRPr="00BA5B90">
        <w:rPr>
          <w:rFonts w:asciiTheme="minorHAnsi" w:hAnsiTheme="minorHAnsi" w:cstheme="minorHAnsi"/>
          <w:b/>
          <w:sz w:val="22"/>
          <w:szCs w:val="22"/>
          <w:u w:val="single"/>
        </w:rPr>
        <w:t>PROCEDURE</w:t>
      </w:r>
    </w:p>
    <w:p w14:paraId="2852A98D" w14:textId="77777777" w:rsidR="00B30870" w:rsidRPr="008A5ACB" w:rsidRDefault="00B30870" w:rsidP="00B30870">
      <w:pPr>
        <w:pStyle w:val="Textebrut"/>
        <w:tabs>
          <w:tab w:val="left" w:pos="1843"/>
        </w:tabs>
        <w:jc w:val="both"/>
        <w:rPr>
          <w:rFonts w:asciiTheme="minorHAnsi" w:hAnsiTheme="minorHAnsi" w:cstheme="minorHAnsi"/>
          <w:sz w:val="22"/>
          <w:szCs w:val="22"/>
        </w:rPr>
      </w:pPr>
    </w:p>
    <w:p w14:paraId="063F4730"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449AC26C" w14:textId="77777777" w:rsidR="00B30870" w:rsidRPr="008A5ACB" w:rsidRDefault="00B30870" w:rsidP="00B30870">
      <w:pPr>
        <w:pStyle w:val="Textebrut"/>
        <w:tabs>
          <w:tab w:val="left" w:pos="1843"/>
        </w:tabs>
        <w:jc w:val="both"/>
        <w:rPr>
          <w:rFonts w:asciiTheme="minorHAnsi" w:hAnsiTheme="minorHAnsi" w:cstheme="minorHAnsi"/>
          <w:sz w:val="22"/>
          <w:szCs w:val="22"/>
          <w:lang w:val="fr-FR"/>
        </w:rPr>
      </w:pPr>
    </w:p>
    <w:p w14:paraId="002175BE"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14:paraId="1EAE9899"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2B20DD42"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requête introductive d’instance et ses annexes reçue</w:t>
      </w:r>
      <w:r>
        <w:rPr>
          <w:rFonts w:asciiTheme="minorHAnsi" w:eastAsia="Times New Roman" w:hAnsiTheme="minorHAnsi" w:cstheme="minorHAnsi"/>
          <w:kern w:val="0"/>
          <w:sz w:val="22"/>
          <w:szCs w:val="22"/>
          <w:lang w:val="fr-FR" w:eastAsia="en-US"/>
        </w:rPr>
        <w:t>s</w:t>
      </w:r>
      <w:r w:rsidRPr="008A5ACB">
        <w:rPr>
          <w:rFonts w:asciiTheme="minorHAnsi" w:eastAsia="Times New Roman" w:hAnsiTheme="minorHAnsi" w:cstheme="minorHAnsi"/>
          <w:kern w:val="0"/>
          <w:sz w:val="22"/>
          <w:szCs w:val="22"/>
          <w:lang w:val="fr-FR" w:eastAsia="en-US"/>
        </w:rPr>
        <w:t xml:space="preserve"> au greffe le </w:t>
      </w:r>
      <w:r w:rsidR="00BA5B90">
        <w:rPr>
          <w:rFonts w:asciiTheme="minorHAnsi" w:eastAsia="Times New Roman" w:hAnsiTheme="minorHAnsi" w:cstheme="minorHAnsi"/>
          <w:kern w:val="0"/>
          <w:sz w:val="22"/>
          <w:szCs w:val="22"/>
          <w:lang w:val="fr-FR" w:eastAsia="en-US"/>
        </w:rPr>
        <w:t>29 mars 2021</w:t>
      </w:r>
      <w:r w:rsidRPr="008A5ACB">
        <w:rPr>
          <w:rFonts w:asciiTheme="minorHAnsi" w:eastAsia="Times New Roman" w:hAnsiTheme="minorHAnsi" w:cstheme="minorHAnsi"/>
          <w:kern w:val="0"/>
          <w:sz w:val="22"/>
          <w:szCs w:val="22"/>
          <w:lang w:val="fr-FR" w:eastAsia="en-US"/>
        </w:rPr>
        <w:t> ;</w:t>
      </w:r>
    </w:p>
    <w:p w14:paraId="26D4ED44" w14:textId="77777777" w:rsidR="00B30870" w:rsidRPr="008A5ACB" w:rsidRDefault="00BA5B9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l’ordonnance 747§1 du 18 octobre 2021</w:t>
      </w:r>
      <w:r w:rsidR="00B30870" w:rsidRPr="008A5ACB">
        <w:rPr>
          <w:rFonts w:asciiTheme="minorHAnsi" w:eastAsia="Times New Roman" w:hAnsiTheme="minorHAnsi" w:cstheme="minorHAnsi"/>
          <w:kern w:val="0"/>
          <w:sz w:val="22"/>
          <w:szCs w:val="22"/>
          <w:lang w:val="fr-FR" w:eastAsia="en-US"/>
        </w:rPr>
        <w:t xml:space="preserve"> ; </w:t>
      </w:r>
    </w:p>
    <w:p w14:paraId="519F1DB2"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les concl</w:t>
      </w:r>
      <w:r w:rsidR="00BA5B90">
        <w:rPr>
          <w:rFonts w:asciiTheme="minorHAnsi" w:eastAsia="Times New Roman" w:hAnsiTheme="minorHAnsi" w:cstheme="minorHAnsi"/>
          <w:kern w:val="0"/>
          <w:sz w:val="22"/>
          <w:szCs w:val="22"/>
          <w:lang w:val="fr-FR" w:eastAsia="en-US"/>
        </w:rPr>
        <w:t>usions du</w:t>
      </w:r>
      <w:r w:rsidR="00FA456C">
        <w:rPr>
          <w:rFonts w:asciiTheme="minorHAnsi" w:eastAsia="Times New Roman" w:hAnsiTheme="minorHAnsi" w:cstheme="minorHAnsi"/>
          <w:kern w:val="0"/>
          <w:sz w:val="22"/>
          <w:szCs w:val="22"/>
          <w:lang w:val="fr-FR" w:eastAsia="en-US"/>
        </w:rPr>
        <w:t xml:space="preserve"> F.F.E. </w:t>
      </w:r>
      <w:r w:rsidRPr="008A5ACB">
        <w:rPr>
          <w:rFonts w:asciiTheme="minorHAnsi" w:eastAsia="Times New Roman" w:hAnsiTheme="minorHAnsi" w:cstheme="minorHAnsi"/>
          <w:kern w:val="0"/>
          <w:sz w:val="22"/>
          <w:szCs w:val="22"/>
          <w:lang w:val="fr-FR" w:eastAsia="en-US"/>
        </w:rPr>
        <w:t xml:space="preserve">reçues au greffe le </w:t>
      </w:r>
      <w:r w:rsidR="00BA5B90">
        <w:rPr>
          <w:rFonts w:asciiTheme="minorHAnsi" w:eastAsia="Times New Roman" w:hAnsiTheme="minorHAnsi" w:cstheme="minorHAnsi"/>
          <w:kern w:val="0"/>
          <w:sz w:val="22"/>
          <w:szCs w:val="22"/>
          <w:lang w:val="fr-FR" w:eastAsia="en-US"/>
        </w:rPr>
        <w:t>16 décembre 2021</w:t>
      </w:r>
      <w:r w:rsidRPr="008A5ACB">
        <w:rPr>
          <w:rFonts w:asciiTheme="minorHAnsi" w:eastAsia="Times New Roman" w:hAnsiTheme="minorHAnsi" w:cstheme="minorHAnsi"/>
          <w:kern w:val="0"/>
          <w:sz w:val="22"/>
          <w:szCs w:val="22"/>
          <w:lang w:val="fr-FR" w:eastAsia="en-US"/>
        </w:rPr>
        <w:t> ;</w:t>
      </w:r>
    </w:p>
    <w:p w14:paraId="60432741" w14:textId="77777777" w:rsidR="00B30870" w:rsidRDefault="00BA5B9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les conclusions de la SRL </w:t>
      </w:r>
      <w:r w:rsidR="00BB19D1">
        <w:rPr>
          <w:rFonts w:asciiTheme="minorHAnsi" w:eastAsia="Times New Roman" w:hAnsiTheme="minorHAnsi" w:cstheme="minorHAnsi"/>
          <w:kern w:val="0"/>
          <w:sz w:val="22"/>
          <w:szCs w:val="22"/>
          <w:lang w:val="fr-FR" w:eastAsia="en-US"/>
        </w:rPr>
        <w:t>Y</w:t>
      </w:r>
      <w:r>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 xml:space="preserve">reçues au greffe le </w:t>
      </w:r>
      <w:r>
        <w:rPr>
          <w:rFonts w:asciiTheme="minorHAnsi" w:eastAsia="Times New Roman" w:hAnsiTheme="minorHAnsi" w:cstheme="minorHAnsi"/>
          <w:kern w:val="0"/>
          <w:sz w:val="22"/>
          <w:szCs w:val="22"/>
          <w:lang w:val="fr-FR" w:eastAsia="en-US"/>
        </w:rPr>
        <w:t>23 février 2022</w:t>
      </w:r>
      <w:r w:rsidR="00B30870" w:rsidRPr="008A5ACB">
        <w:rPr>
          <w:rFonts w:asciiTheme="minorHAnsi" w:eastAsia="Times New Roman" w:hAnsiTheme="minorHAnsi" w:cstheme="minorHAnsi"/>
          <w:kern w:val="0"/>
          <w:sz w:val="22"/>
          <w:szCs w:val="22"/>
          <w:lang w:val="fr-FR" w:eastAsia="en-US"/>
        </w:rPr>
        <w:t> ;</w:t>
      </w:r>
    </w:p>
    <w:p w14:paraId="0B45D08B" w14:textId="77777777" w:rsidR="00BA5B90" w:rsidRDefault="00BA5B9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les conclusions de Madame </w:t>
      </w:r>
      <w:r w:rsidR="00BB19D1">
        <w:rPr>
          <w:rFonts w:asciiTheme="minorHAnsi" w:eastAsia="Times New Roman" w:hAnsiTheme="minorHAnsi" w:cstheme="minorHAnsi"/>
          <w:kern w:val="0"/>
          <w:sz w:val="22"/>
          <w:szCs w:val="22"/>
          <w:lang w:val="fr-FR" w:eastAsia="en-US"/>
        </w:rPr>
        <w:t>X</w:t>
      </w:r>
      <w:r>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reçues au greffe le</w:t>
      </w:r>
      <w:r>
        <w:rPr>
          <w:rFonts w:asciiTheme="minorHAnsi" w:eastAsia="Times New Roman" w:hAnsiTheme="minorHAnsi" w:cstheme="minorHAnsi"/>
          <w:kern w:val="0"/>
          <w:sz w:val="22"/>
          <w:szCs w:val="22"/>
          <w:lang w:val="fr-FR" w:eastAsia="en-US"/>
        </w:rPr>
        <w:t xml:space="preserve"> 8 avril 2022 ;</w:t>
      </w:r>
    </w:p>
    <w:p w14:paraId="105E1581" w14:textId="77777777" w:rsidR="00BA5B90" w:rsidRDefault="00BA5B9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les concl</w:t>
      </w:r>
      <w:r>
        <w:rPr>
          <w:rFonts w:asciiTheme="minorHAnsi" w:eastAsia="Times New Roman" w:hAnsiTheme="minorHAnsi" w:cstheme="minorHAnsi"/>
          <w:kern w:val="0"/>
          <w:sz w:val="22"/>
          <w:szCs w:val="22"/>
          <w:lang w:val="fr-FR" w:eastAsia="en-US"/>
        </w:rPr>
        <w:t>usions</w:t>
      </w:r>
      <w:r w:rsidR="00DE062A">
        <w:rPr>
          <w:rFonts w:asciiTheme="minorHAnsi" w:eastAsia="Times New Roman" w:hAnsiTheme="minorHAnsi" w:cstheme="minorHAnsi"/>
          <w:kern w:val="0"/>
          <w:sz w:val="22"/>
          <w:szCs w:val="22"/>
          <w:lang w:val="fr-FR" w:eastAsia="en-US"/>
        </w:rPr>
        <w:t xml:space="preserve"> de synthèse</w:t>
      </w:r>
      <w:r>
        <w:rPr>
          <w:rFonts w:asciiTheme="minorHAnsi" w:eastAsia="Times New Roman" w:hAnsiTheme="minorHAnsi" w:cstheme="minorHAnsi"/>
          <w:kern w:val="0"/>
          <w:sz w:val="22"/>
          <w:szCs w:val="22"/>
          <w:lang w:val="fr-FR" w:eastAsia="en-US"/>
        </w:rPr>
        <w:t xml:space="preserve"> du</w:t>
      </w:r>
      <w:r w:rsidR="00FA456C">
        <w:rPr>
          <w:rFonts w:asciiTheme="minorHAnsi" w:eastAsia="Times New Roman" w:hAnsiTheme="minorHAnsi" w:cstheme="minorHAnsi"/>
          <w:kern w:val="0"/>
          <w:sz w:val="22"/>
          <w:szCs w:val="22"/>
          <w:lang w:val="fr-FR" w:eastAsia="en-US"/>
        </w:rPr>
        <w:t xml:space="preserve"> F.F.E. </w:t>
      </w:r>
      <w:r w:rsidRPr="008A5ACB">
        <w:rPr>
          <w:rFonts w:asciiTheme="minorHAnsi" w:eastAsia="Times New Roman" w:hAnsiTheme="minorHAnsi" w:cstheme="minorHAnsi"/>
          <w:kern w:val="0"/>
          <w:sz w:val="22"/>
          <w:szCs w:val="22"/>
          <w:lang w:val="fr-FR" w:eastAsia="en-US"/>
        </w:rPr>
        <w:t>reçues au greffe le</w:t>
      </w:r>
      <w:r w:rsidR="00DE062A">
        <w:rPr>
          <w:rFonts w:asciiTheme="minorHAnsi" w:eastAsia="Times New Roman" w:hAnsiTheme="minorHAnsi" w:cstheme="minorHAnsi"/>
          <w:kern w:val="0"/>
          <w:sz w:val="22"/>
          <w:szCs w:val="22"/>
          <w:lang w:val="fr-FR" w:eastAsia="en-US"/>
        </w:rPr>
        <w:t xml:space="preserve"> 10 mai 2022 ;</w:t>
      </w:r>
    </w:p>
    <w:p w14:paraId="046BA167" w14:textId="77777777" w:rsidR="00DE062A" w:rsidRPr="008A5ACB" w:rsidRDefault="00DE062A"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les conclusions additionnelles de la SRL </w:t>
      </w:r>
      <w:r w:rsidR="00BB19D1">
        <w:rPr>
          <w:rFonts w:asciiTheme="minorHAnsi" w:eastAsia="Times New Roman" w:hAnsiTheme="minorHAnsi" w:cstheme="minorHAnsi"/>
          <w:kern w:val="0"/>
          <w:sz w:val="22"/>
          <w:szCs w:val="22"/>
          <w:lang w:val="fr-FR" w:eastAsia="en-US"/>
        </w:rPr>
        <w:t xml:space="preserve">Y </w:t>
      </w:r>
      <w:r w:rsidRPr="008A5ACB">
        <w:rPr>
          <w:rFonts w:asciiTheme="minorHAnsi" w:eastAsia="Times New Roman" w:hAnsiTheme="minorHAnsi" w:cstheme="minorHAnsi"/>
          <w:kern w:val="0"/>
          <w:sz w:val="22"/>
          <w:szCs w:val="22"/>
          <w:lang w:val="fr-FR" w:eastAsia="en-US"/>
        </w:rPr>
        <w:t>reçues au greffe le</w:t>
      </w:r>
      <w:r>
        <w:rPr>
          <w:rFonts w:asciiTheme="minorHAnsi" w:eastAsia="Times New Roman" w:hAnsiTheme="minorHAnsi" w:cstheme="minorHAnsi"/>
          <w:kern w:val="0"/>
          <w:sz w:val="22"/>
          <w:szCs w:val="22"/>
          <w:lang w:val="fr-FR" w:eastAsia="en-US"/>
        </w:rPr>
        <w:t xml:space="preserve"> 20 juin 2022 ;</w:t>
      </w:r>
    </w:p>
    <w:p w14:paraId="301B8DFD"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w:t>
      </w:r>
      <w:r w:rsidR="00DE062A">
        <w:rPr>
          <w:rFonts w:asciiTheme="minorHAnsi" w:eastAsia="Times New Roman" w:hAnsiTheme="minorHAnsi" w:cstheme="minorHAnsi"/>
          <w:kern w:val="0"/>
          <w:sz w:val="22"/>
          <w:szCs w:val="22"/>
          <w:lang w:val="fr-FR" w:eastAsia="en-US"/>
        </w:rPr>
        <w:t>s</w:t>
      </w:r>
      <w:r w:rsidRPr="008A5ACB">
        <w:rPr>
          <w:rFonts w:asciiTheme="minorHAnsi" w:eastAsia="Times New Roman" w:hAnsiTheme="minorHAnsi" w:cstheme="minorHAnsi"/>
          <w:kern w:val="0"/>
          <w:sz w:val="22"/>
          <w:szCs w:val="22"/>
          <w:lang w:val="fr-FR" w:eastAsia="en-US"/>
        </w:rPr>
        <w:t xml:space="preserve"> dossier</w:t>
      </w:r>
      <w:r w:rsidR="00DE062A">
        <w:rPr>
          <w:rFonts w:asciiTheme="minorHAnsi" w:eastAsia="Times New Roman" w:hAnsiTheme="minorHAnsi" w:cstheme="minorHAnsi"/>
          <w:kern w:val="0"/>
          <w:sz w:val="22"/>
          <w:szCs w:val="22"/>
          <w:lang w:val="fr-FR" w:eastAsia="en-US"/>
        </w:rPr>
        <w:t>s</w:t>
      </w:r>
      <w:r w:rsidRPr="008A5ACB">
        <w:rPr>
          <w:rFonts w:asciiTheme="minorHAnsi" w:eastAsia="Times New Roman" w:hAnsiTheme="minorHAnsi" w:cstheme="minorHAnsi"/>
          <w:kern w:val="0"/>
          <w:sz w:val="22"/>
          <w:szCs w:val="22"/>
          <w:lang w:val="fr-FR" w:eastAsia="en-US"/>
        </w:rPr>
        <w:t xml:space="preserve"> de</w:t>
      </w:r>
      <w:r w:rsidR="00DE062A">
        <w:rPr>
          <w:rFonts w:asciiTheme="minorHAnsi" w:eastAsia="Times New Roman" w:hAnsiTheme="minorHAnsi" w:cstheme="minorHAnsi"/>
          <w:kern w:val="0"/>
          <w:sz w:val="22"/>
          <w:szCs w:val="22"/>
          <w:lang w:val="fr-FR" w:eastAsia="en-US"/>
        </w:rPr>
        <w:t>s p</w:t>
      </w:r>
      <w:r w:rsidRPr="008A5ACB">
        <w:rPr>
          <w:rFonts w:asciiTheme="minorHAnsi" w:eastAsia="Times New Roman" w:hAnsiTheme="minorHAnsi" w:cstheme="minorHAnsi"/>
          <w:kern w:val="0"/>
          <w:sz w:val="22"/>
          <w:szCs w:val="22"/>
          <w:lang w:val="fr-FR" w:eastAsia="en-US"/>
        </w:rPr>
        <w:t>artie</w:t>
      </w:r>
      <w:r w:rsidR="00DE062A">
        <w:rPr>
          <w:rFonts w:asciiTheme="minorHAnsi" w:eastAsia="Times New Roman" w:hAnsiTheme="minorHAnsi" w:cstheme="minorHAnsi"/>
          <w:kern w:val="0"/>
          <w:sz w:val="22"/>
          <w:szCs w:val="22"/>
          <w:lang w:val="fr-FR" w:eastAsia="en-US"/>
        </w:rPr>
        <w:t>s</w:t>
      </w:r>
      <w:r>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w:t>
      </w:r>
    </w:p>
    <w:p w14:paraId="2C22E4C6"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 </w:t>
      </w:r>
      <w:r w:rsidRPr="008A5ACB">
        <w:rPr>
          <w:rFonts w:asciiTheme="minorHAnsi" w:eastAsia="Times New Roman" w:hAnsiTheme="minorHAnsi" w:cstheme="minorHAnsi"/>
          <w:spacing w:val="-2"/>
          <w:kern w:val="0"/>
          <w:sz w:val="22"/>
          <w:szCs w:val="22"/>
          <w:lang w:val="fr-FR" w:eastAsia="en-US"/>
        </w:rPr>
        <w:t>dossier de l’Auditorat du Travail.</w:t>
      </w:r>
    </w:p>
    <w:p w14:paraId="51AF4CCE" w14:textId="77777777" w:rsidR="00B30870" w:rsidRPr="008A5ACB"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4D22629C" w14:textId="77777777" w:rsidR="00B30870" w:rsidRPr="008A5ACB"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723376">
        <w:rPr>
          <w:rFonts w:asciiTheme="minorHAnsi" w:eastAsia="Times New Roman" w:hAnsiTheme="minorHAnsi" w:cstheme="minorHAnsi"/>
          <w:spacing w:val="-2"/>
          <w:kern w:val="0"/>
          <w:sz w:val="22"/>
          <w:szCs w:val="22"/>
          <w:lang w:val="fr-FR" w:eastAsia="en-US"/>
        </w:rPr>
        <w:t>12 septembre 2022</w:t>
      </w:r>
      <w:r w:rsidRPr="008A5ACB">
        <w:rPr>
          <w:rFonts w:asciiTheme="minorHAnsi" w:eastAsia="Times New Roman" w:hAnsiTheme="minorHAnsi" w:cstheme="minorHAnsi"/>
          <w:kern w:val="0"/>
          <w:sz w:val="22"/>
          <w:szCs w:val="22"/>
          <w:lang w:eastAsia="en-US"/>
        </w:rPr>
        <w:t>.</w:t>
      </w:r>
    </w:p>
    <w:p w14:paraId="3B2DEA77" w14:textId="77777777" w:rsidR="00B30870" w:rsidRPr="008A5ACB"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6B88B15E" w14:textId="77777777" w:rsidR="00B30870" w:rsidRPr="00723376" w:rsidRDefault="00B30870" w:rsidP="00B30870">
      <w:pPr>
        <w:widowControl/>
        <w:tabs>
          <w:tab w:val="left" w:pos="-720"/>
        </w:tabs>
        <w:jc w:val="both"/>
        <w:rPr>
          <w:rFonts w:asciiTheme="minorHAnsi" w:eastAsia="Times New Roman" w:hAnsiTheme="minorHAnsi" w:cstheme="minorHAnsi"/>
          <w:spacing w:val="-2"/>
          <w:kern w:val="0"/>
          <w:sz w:val="22"/>
          <w:szCs w:val="22"/>
          <w:lang w:val="fr-FR" w:eastAsia="en-US"/>
        </w:rPr>
      </w:pPr>
      <w:r w:rsidRPr="00723376">
        <w:rPr>
          <w:rFonts w:asciiTheme="minorHAnsi" w:eastAsia="Times New Roman" w:hAnsiTheme="minorHAnsi" w:cstheme="minorHAnsi"/>
          <w:spacing w:val="-2"/>
          <w:kern w:val="0"/>
          <w:sz w:val="22"/>
          <w:szCs w:val="22"/>
          <w:lang w:val="fr-FR" w:eastAsia="en-US"/>
        </w:rPr>
        <w:t>Entendu à cette même audience, après la clôture des débats, M</w:t>
      </w:r>
      <w:r w:rsidR="00723376" w:rsidRPr="00723376">
        <w:rPr>
          <w:rFonts w:asciiTheme="minorHAnsi" w:eastAsia="Times New Roman" w:hAnsiTheme="minorHAnsi" w:cstheme="minorHAnsi"/>
          <w:spacing w:val="-2"/>
          <w:kern w:val="0"/>
          <w:sz w:val="22"/>
          <w:szCs w:val="22"/>
          <w:lang w:val="fr-FR" w:eastAsia="en-US"/>
        </w:rPr>
        <w:t xml:space="preserve">adame Pascale </w:t>
      </w:r>
      <w:r w:rsidRPr="00723376">
        <w:rPr>
          <w:rFonts w:asciiTheme="minorHAnsi" w:eastAsia="Times New Roman" w:hAnsiTheme="minorHAnsi" w:cstheme="minorHAnsi"/>
          <w:spacing w:val="-2"/>
          <w:kern w:val="0"/>
          <w:sz w:val="22"/>
          <w:szCs w:val="22"/>
          <w:lang w:val="fr-FR" w:eastAsia="en-US"/>
        </w:rPr>
        <w:t>MALDEREZ, Substitut de l'Auditeur en son avis auquel il n’a pas été répliqué.</w:t>
      </w:r>
    </w:p>
    <w:p w14:paraId="760950B1" w14:textId="77777777" w:rsidR="00B30870" w:rsidRDefault="00B30870" w:rsidP="00B30870">
      <w:pPr>
        <w:pStyle w:val="Textebrut"/>
        <w:tabs>
          <w:tab w:val="left" w:pos="1843"/>
        </w:tabs>
        <w:jc w:val="both"/>
        <w:rPr>
          <w:rFonts w:asciiTheme="minorHAnsi" w:hAnsiTheme="minorHAnsi" w:cstheme="minorHAnsi"/>
          <w:b/>
          <w:sz w:val="24"/>
          <w:szCs w:val="24"/>
          <w:u w:val="single"/>
          <w:lang w:val="fr-FR"/>
        </w:rPr>
      </w:pPr>
    </w:p>
    <w:p w14:paraId="5E6985B8" w14:textId="77777777" w:rsidR="00723376" w:rsidRDefault="00723376" w:rsidP="00723376">
      <w:pPr>
        <w:widowControl/>
        <w:suppressAutoHyphens w:val="0"/>
        <w:autoSpaceDN/>
        <w:spacing w:after="160" w:line="259" w:lineRule="auto"/>
        <w:textAlignment w:val="auto"/>
        <w:rPr>
          <w:rFonts w:ascii="Calibri" w:eastAsia="Calibri" w:hAnsi="Calibri" w:cs="Times New Roman"/>
          <w:b/>
          <w:kern w:val="0"/>
          <w:sz w:val="22"/>
          <w:szCs w:val="22"/>
          <w:lang w:eastAsia="en-US"/>
        </w:rPr>
      </w:pPr>
    </w:p>
    <w:p w14:paraId="113BC195" w14:textId="77777777" w:rsidR="00DE062A" w:rsidRDefault="00DE062A" w:rsidP="00723376">
      <w:pPr>
        <w:widowControl/>
        <w:suppressAutoHyphens w:val="0"/>
        <w:autoSpaceDN/>
        <w:spacing w:after="160" w:line="259" w:lineRule="auto"/>
        <w:textAlignment w:val="auto"/>
        <w:rPr>
          <w:rFonts w:ascii="Calibri" w:eastAsia="Calibri" w:hAnsi="Calibri" w:cs="Times New Roman"/>
          <w:b/>
          <w:kern w:val="0"/>
          <w:sz w:val="22"/>
          <w:szCs w:val="22"/>
          <w:u w:val="double"/>
          <w:lang w:eastAsia="en-US"/>
        </w:rPr>
      </w:pPr>
    </w:p>
    <w:p w14:paraId="3C7E2D86" w14:textId="77777777" w:rsidR="00DE062A" w:rsidRPr="00723376" w:rsidRDefault="00DE062A" w:rsidP="00DE062A">
      <w:pPr>
        <w:widowControl/>
        <w:suppressAutoHyphens w:val="0"/>
        <w:autoSpaceDN/>
        <w:spacing w:line="259" w:lineRule="auto"/>
        <w:textAlignment w:val="auto"/>
        <w:rPr>
          <w:rFonts w:ascii="Calibri" w:eastAsia="Calibri" w:hAnsi="Calibri" w:cs="Times New Roman"/>
          <w:b/>
          <w:kern w:val="0"/>
          <w:sz w:val="22"/>
          <w:szCs w:val="22"/>
          <w:u w:val="double"/>
          <w:lang w:eastAsia="en-US"/>
        </w:rPr>
      </w:pPr>
    </w:p>
    <w:p w14:paraId="4FA53097" w14:textId="77777777" w:rsidR="00723376" w:rsidRDefault="00723376" w:rsidP="00DE062A">
      <w:pPr>
        <w:widowControl/>
        <w:numPr>
          <w:ilvl w:val="0"/>
          <w:numId w:val="8"/>
        </w:numPr>
        <w:suppressAutoHyphens w:val="0"/>
        <w:autoSpaceDN/>
        <w:spacing w:line="259" w:lineRule="auto"/>
        <w:contextualSpacing/>
        <w:textAlignment w:val="auto"/>
        <w:rPr>
          <w:rFonts w:ascii="Calibri" w:eastAsia="Calibri" w:hAnsi="Calibri" w:cs="Times New Roman"/>
          <w:b/>
          <w:kern w:val="0"/>
          <w:sz w:val="22"/>
          <w:szCs w:val="22"/>
          <w:u w:val="double"/>
          <w:lang w:eastAsia="en-US"/>
        </w:rPr>
      </w:pPr>
      <w:r w:rsidRPr="00723376">
        <w:rPr>
          <w:rFonts w:ascii="Calibri" w:eastAsia="Calibri" w:hAnsi="Calibri" w:cs="Times New Roman"/>
          <w:b/>
          <w:kern w:val="0"/>
          <w:sz w:val="22"/>
          <w:szCs w:val="22"/>
          <w:u w:val="double"/>
          <w:lang w:eastAsia="en-US"/>
        </w:rPr>
        <w:lastRenderedPageBreak/>
        <w:t>OBJET DE LA DEMANDE</w:t>
      </w:r>
    </w:p>
    <w:p w14:paraId="0F45F291" w14:textId="77777777" w:rsidR="00DE062A" w:rsidRPr="00723376" w:rsidRDefault="00DE062A" w:rsidP="00DE062A">
      <w:pPr>
        <w:widowControl/>
        <w:suppressAutoHyphens w:val="0"/>
        <w:autoSpaceDN/>
        <w:spacing w:after="160" w:line="259" w:lineRule="auto"/>
        <w:contextualSpacing/>
        <w:textAlignment w:val="auto"/>
        <w:rPr>
          <w:rFonts w:ascii="Calibri" w:eastAsia="Calibri" w:hAnsi="Calibri" w:cs="Times New Roman"/>
          <w:b/>
          <w:kern w:val="0"/>
          <w:sz w:val="22"/>
          <w:szCs w:val="22"/>
          <w:u w:val="double"/>
          <w:lang w:eastAsia="en-US"/>
        </w:rPr>
      </w:pPr>
    </w:p>
    <w:p w14:paraId="097752C3"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demande :</w:t>
      </w:r>
    </w:p>
    <w:p w14:paraId="41AEAB27" w14:textId="77777777" w:rsidR="00723376" w:rsidRP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À titre principal, que le Fonds d’indemnisation des travailleurs licenciés  en cas de fermeture d’entreprises (ci-dessous le F.F.E.) soit condamné à lui payer l’indemnité de rupture due par son ancien employeur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déclaré en faillite ;</w:t>
      </w:r>
    </w:p>
    <w:p w14:paraId="64E8C65E" w14:textId="77777777" w:rsidR="00723376" w:rsidRP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A titre subsidiaire, q</w:t>
      </w:r>
      <w:r w:rsidR="00BB19D1">
        <w:rPr>
          <w:rFonts w:ascii="Calibri" w:eastAsia="Calibri" w:hAnsi="Calibri" w:cs="Times New Roman"/>
          <w:kern w:val="0"/>
          <w:sz w:val="22"/>
          <w:szCs w:val="22"/>
          <w:lang w:eastAsia="en-US"/>
        </w:rPr>
        <w:t>ue son nouvel employeur (SRL Y</w:t>
      </w:r>
      <w:r w:rsidRPr="00723376">
        <w:rPr>
          <w:rFonts w:ascii="Calibri" w:eastAsia="Calibri" w:hAnsi="Calibri" w:cs="Times New Roman"/>
          <w:kern w:val="0"/>
          <w:sz w:val="22"/>
          <w:szCs w:val="22"/>
          <w:lang w:eastAsia="en-US"/>
        </w:rPr>
        <w:t>) soit condamné à reconnaître l’ancienneté qu’elle avait acquise chez son ancien employeur.</w:t>
      </w:r>
    </w:p>
    <w:p w14:paraId="510EDDC3" w14:textId="77777777" w:rsidR="00723376" w:rsidRPr="00723376" w:rsidRDefault="00723376" w:rsidP="00DE062A">
      <w:pPr>
        <w:widowControl/>
        <w:suppressAutoHyphens w:val="0"/>
        <w:autoSpaceDN/>
        <w:spacing w:after="160" w:line="259" w:lineRule="auto"/>
        <w:ind w:left="405"/>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 </w:t>
      </w:r>
    </w:p>
    <w:p w14:paraId="425E64F8" w14:textId="77777777" w:rsidR="00723376" w:rsidRDefault="00723376" w:rsidP="00DE062A">
      <w:pPr>
        <w:widowControl/>
        <w:numPr>
          <w:ilvl w:val="0"/>
          <w:numId w:val="8"/>
        </w:numPr>
        <w:suppressAutoHyphens w:val="0"/>
        <w:autoSpaceDN/>
        <w:spacing w:after="160" w:line="259" w:lineRule="auto"/>
        <w:contextualSpacing/>
        <w:jc w:val="both"/>
        <w:textAlignment w:val="auto"/>
        <w:rPr>
          <w:rFonts w:ascii="Calibri" w:eastAsia="Calibri" w:hAnsi="Calibri" w:cs="Times New Roman"/>
          <w:b/>
          <w:kern w:val="0"/>
          <w:sz w:val="22"/>
          <w:szCs w:val="22"/>
          <w:u w:val="double"/>
          <w:lang w:eastAsia="en-US"/>
        </w:rPr>
      </w:pPr>
      <w:r w:rsidRPr="00723376">
        <w:rPr>
          <w:rFonts w:ascii="Calibri" w:eastAsia="Calibri" w:hAnsi="Calibri" w:cs="Times New Roman"/>
          <w:b/>
          <w:kern w:val="0"/>
          <w:sz w:val="22"/>
          <w:szCs w:val="22"/>
          <w:u w:val="double"/>
          <w:lang w:eastAsia="en-US"/>
        </w:rPr>
        <w:t>LES FAITS</w:t>
      </w:r>
    </w:p>
    <w:p w14:paraId="3A5463D9" w14:textId="77777777" w:rsidR="00DE062A" w:rsidRPr="00723376" w:rsidRDefault="00DE062A" w:rsidP="00DE062A">
      <w:pPr>
        <w:widowControl/>
        <w:suppressAutoHyphens w:val="0"/>
        <w:autoSpaceDN/>
        <w:spacing w:after="160" w:line="259" w:lineRule="auto"/>
        <w:contextualSpacing/>
        <w:jc w:val="both"/>
        <w:textAlignment w:val="auto"/>
        <w:rPr>
          <w:rFonts w:ascii="Calibri" w:eastAsia="Calibri" w:hAnsi="Calibri" w:cs="Times New Roman"/>
          <w:b/>
          <w:kern w:val="0"/>
          <w:sz w:val="22"/>
          <w:szCs w:val="22"/>
          <w:u w:val="double"/>
          <w:lang w:eastAsia="en-US"/>
        </w:rPr>
      </w:pPr>
    </w:p>
    <w:p w14:paraId="528748EF"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a été occupée en qualité de coiffeuse par la société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à partir du 19 décembre 2012. </w:t>
      </w:r>
    </w:p>
    <w:p w14:paraId="2B05CF25"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Le 20 mars 2019, Madame </w:t>
      </w:r>
      <w:r w:rsidR="00BB19D1">
        <w:rPr>
          <w:rFonts w:ascii="Calibri" w:eastAsia="Calibri" w:hAnsi="Calibri" w:cs="Times New Roman"/>
          <w:kern w:val="0"/>
          <w:sz w:val="22"/>
          <w:szCs w:val="22"/>
          <w:lang w:eastAsia="en-US"/>
        </w:rPr>
        <w:t>S</w:t>
      </w:r>
      <w:r w:rsidRPr="00723376">
        <w:rPr>
          <w:rFonts w:ascii="Calibri" w:eastAsia="Calibri" w:hAnsi="Calibri" w:cs="Times New Roman"/>
          <w:kern w:val="0"/>
          <w:sz w:val="22"/>
          <w:szCs w:val="22"/>
          <w:lang w:eastAsia="en-US"/>
        </w:rPr>
        <w:t xml:space="preserve"> (alors employée comme coiffeuse par la société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et son époux ont constitué la SRL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ayant notamment pour objet l’exploitation de salons de coiffure.</w:t>
      </w:r>
    </w:p>
    <w:p w14:paraId="18E87B83"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Le 29 avril 2019, la société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a été déclarée en faillite par le Tribunal de l’entreprise de Liège.</w:t>
      </w:r>
    </w:p>
    <w:p w14:paraId="29D7057E"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Le 2 mai 2019,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a été engagée en qualité de coiffeuse par la SRL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dans le cadre d’un contrat de travail à durée déterminée se terminant le 2 août 2019 puis dans le cadre d’un contrat de travail à durée indéterminée à partir du 6 août 2019.</w:t>
      </w:r>
    </w:p>
    <w:p w14:paraId="38FA6F64"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Le 6 juin 2019, elle a déclaré une créance à la faillite de la société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pour un montant de 9.412,86 € brut.</w:t>
      </w:r>
    </w:p>
    <w:p w14:paraId="7A902724"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Le curateur de la faillite a accepté cette déclaration de créance mais a invité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à se tourner vers le</w:t>
      </w:r>
      <w:r w:rsidR="00FA456C">
        <w:rPr>
          <w:rFonts w:ascii="Calibri" w:eastAsia="Calibri" w:hAnsi="Calibri" w:cs="Times New Roman"/>
          <w:kern w:val="0"/>
          <w:sz w:val="22"/>
          <w:szCs w:val="22"/>
          <w:lang w:eastAsia="en-US"/>
        </w:rPr>
        <w:t xml:space="preserve"> F.F.E. </w:t>
      </w:r>
      <w:r w:rsidRPr="00723376">
        <w:rPr>
          <w:rFonts w:ascii="Calibri" w:eastAsia="Calibri" w:hAnsi="Calibri" w:cs="Times New Roman"/>
          <w:kern w:val="0"/>
          <w:sz w:val="22"/>
          <w:szCs w:val="22"/>
          <w:lang w:eastAsia="en-US"/>
        </w:rPr>
        <w:t>au motif qu’il ne disposait pas de l’actif nécessaire pour payer les indemnités de rupture.</w:t>
      </w:r>
    </w:p>
    <w:p w14:paraId="073A8BCA"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a introduit, via un formulaire F1, une demande d’intervention auprès du</w:t>
      </w:r>
      <w:r w:rsidR="00FA456C">
        <w:rPr>
          <w:rFonts w:ascii="Calibri" w:eastAsia="Calibri" w:hAnsi="Calibri" w:cs="Times New Roman"/>
          <w:kern w:val="0"/>
          <w:sz w:val="22"/>
          <w:szCs w:val="22"/>
          <w:lang w:eastAsia="en-US"/>
        </w:rPr>
        <w:t xml:space="preserve"> F.F.E. </w:t>
      </w:r>
      <w:r w:rsidRPr="00723376">
        <w:rPr>
          <w:rFonts w:ascii="Calibri" w:eastAsia="Calibri" w:hAnsi="Calibri" w:cs="Times New Roman"/>
          <w:kern w:val="0"/>
          <w:sz w:val="22"/>
          <w:szCs w:val="22"/>
          <w:lang w:eastAsia="en-US"/>
        </w:rPr>
        <w:t>pour la rémunération du jour férié du 1</w:t>
      </w:r>
      <w:r w:rsidRPr="00723376">
        <w:rPr>
          <w:rFonts w:ascii="Calibri" w:eastAsia="Calibri" w:hAnsi="Calibri" w:cs="Times New Roman"/>
          <w:kern w:val="0"/>
          <w:sz w:val="22"/>
          <w:szCs w:val="22"/>
          <w:vertAlign w:val="superscript"/>
          <w:lang w:eastAsia="en-US"/>
        </w:rPr>
        <w:t>er</w:t>
      </w:r>
      <w:r w:rsidRPr="00723376">
        <w:rPr>
          <w:rFonts w:ascii="Calibri" w:eastAsia="Calibri" w:hAnsi="Calibri" w:cs="Times New Roman"/>
          <w:kern w:val="0"/>
          <w:sz w:val="22"/>
          <w:szCs w:val="22"/>
          <w:lang w:eastAsia="en-US"/>
        </w:rPr>
        <w:t xml:space="preserve"> mai 2019 (97,04 €) et pour une indemnité de rupture (9.315,82 €), suite à la défaillance de son ancien employeur.</w:t>
      </w:r>
    </w:p>
    <w:p w14:paraId="6C1173A9"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Le</w:t>
      </w:r>
      <w:r w:rsidR="00FA456C">
        <w:rPr>
          <w:rFonts w:ascii="Calibri" w:eastAsia="Calibri" w:hAnsi="Calibri" w:cs="Times New Roman"/>
          <w:kern w:val="0"/>
          <w:sz w:val="22"/>
          <w:szCs w:val="22"/>
          <w:lang w:eastAsia="en-US"/>
        </w:rPr>
        <w:t xml:space="preserve"> F.F.E. </w:t>
      </w:r>
      <w:r w:rsidRPr="00723376">
        <w:rPr>
          <w:rFonts w:ascii="Calibri" w:eastAsia="Calibri" w:hAnsi="Calibri" w:cs="Times New Roman"/>
          <w:kern w:val="0"/>
          <w:sz w:val="22"/>
          <w:szCs w:val="22"/>
          <w:lang w:eastAsia="en-US"/>
        </w:rPr>
        <w:t>a accepté d’intervenir pour le jour férié du 1</w:t>
      </w:r>
      <w:r w:rsidRPr="00723376">
        <w:rPr>
          <w:rFonts w:ascii="Calibri" w:eastAsia="Calibri" w:hAnsi="Calibri" w:cs="Times New Roman"/>
          <w:kern w:val="0"/>
          <w:sz w:val="22"/>
          <w:szCs w:val="22"/>
          <w:vertAlign w:val="superscript"/>
          <w:lang w:eastAsia="en-US"/>
        </w:rPr>
        <w:t>er</w:t>
      </w:r>
      <w:r w:rsidRPr="00723376">
        <w:rPr>
          <w:rFonts w:ascii="Calibri" w:eastAsia="Calibri" w:hAnsi="Calibri" w:cs="Times New Roman"/>
          <w:kern w:val="0"/>
          <w:sz w:val="22"/>
          <w:szCs w:val="22"/>
          <w:lang w:eastAsia="en-US"/>
        </w:rPr>
        <w:t xml:space="preserve"> mai 2019 mais non pour l’indemnité de rupture au motif que la société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a fait l’objet d’une reprise d’actif après faillite.</w:t>
      </w:r>
    </w:p>
    <w:p w14:paraId="748F0BD5"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Le syndicat de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a tenté d’infléchir la position du</w:t>
      </w:r>
      <w:r w:rsidR="00FA456C">
        <w:rPr>
          <w:rFonts w:ascii="Calibri" w:eastAsia="Calibri" w:hAnsi="Calibri" w:cs="Times New Roman"/>
          <w:kern w:val="0"/>
          <w:sz w:val="22"/>
          <w:szCs w:val="22"/>
          <w:lang w:eastAsia="en-US"/>
        </w:rPr>
        <w:t xml:space="preserve"> F.F.E. </w:t>
      </w:r>
      <w:r w:rsidRPr="00723376">
        <w:rPr>
          <w:rFonts w:ascii="Calibri" w:eastAsia="Calibri" w:hAnsi="Calibri" w:cs="Times New Roman"/>
          <w:kern w:val="0"/>
          <w:sz w:val="22"/>
          <w:szCs w:val="22"/>
          <w:lang w:eastAsia="en-US"/>
        </w:rPr>
        <w:t xml:space="preserve">mais en vain. </w:t>
      </w:r>
    </w:p>
    <w:p w14:paraId="2EC5EAE2"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Il a ensuite informé la SRL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de la situation et lui a demandé de prendre position.</w:t>
      </w:r>
    </w:p>
    <w:p w14:paraId="79D0A75B"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a alors introduit la présente procédure par requête déposée </w:t>
      </w:r>
      <w:r w:rsidRPr="00FA456C">
        <w:rPr>
          <w:rFonts w:ascii="Calibri" w:eastAsia="Calibri" w:hAnsi="Calibri" w:cs="Times New Roman"/>
          <w:kern w:val="0"/>
          <w:sz w:val="22"/>
          <w:szCs w:val="22"/>
          <w:lang w:eastAsia="en-US"/>
        </w:rPr>
        <w:t xml:space="preserve">le </w:t>
      </w:r>
      <w:r w:rsidR="00DE062A" w:rsidRPr="00FA456C">
        <w:rPr>
          <w:rFonts w:ascii="Calibri" w:eastAsia="Calibri" w:hAnsi="Calibri" w:cs="Times New Roman"/>
          <w:kern w:val="0"/>
          <w:sz w:val="22"/>
          <w:szCs w:val="22"/>
          <w:lang w:eastAsia="en-US"/>
        </w:rPr>
        <w:t xml:space="preserve">29 </w:t>
      </w:r>
      <w:r w:rsidRPr="00FA456C">
        <w:rPr>
          <w:rFonts w:ascii="Calibri" w:eastAsia="Calibri" w:hAnsi="Calibri" w:cs="Times New Roman"/>
          <w:kern w:val="0"/>
          <w:sz w:val="22"/>
          <w:szCs w:val="22"/>
          <w:lang w:eastAsia="en-US"/>
        </w:rPr>
        <w:t>mars</w:t>
      </w:r>
      <w:r w:rsidRPr="00723376">
        <w:rPr>
          <w:rFonts w:ascii="Calibri" w:eastAsia="Calibri" w:hAnsi="Calibri" w:cs="Times New Roman"/>
          <w:kern w:val="0"/>
          <w:sz w:val="22"/>
          <w:szCs w:val="22"/>
          <w:lang w:eastAsia="en-US"/>
        </w:rPr>
        <w:t xml:space="preserve"> 2021.</w:t>
      </w:r>
    </w:p>
    <w:p w14:paraId="54B1444B"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Son occupation auprès de la SRL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a pris fin le 26 août 2021 pour force majeure médicale.</w:t>
      </w:r>
    </w:p>
    <w:p w14:paraId="2F95E35D" w14:textId="77777777" w:rsid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p>
    <w:p w14:paraId="244032C4" w14:textId="77777777" w:rsidR="00DE062A" w:rsidRDefault="00DE062A"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p>
    <w:p w14:paraId="4DE843B9" w14:textId="77777777" w:rsidR="00DE062A" w:rsidRPr="00723376" w:rsidRDefault="00DE062A" w:rsidP="00DE062A">
      <w:pPr>
        <w:widowControl/>
        <w:suppressAutoHyphens w:val="0"/>
        <w:autoSpaceDN/>
        <w:spacing w:line="259" w:lineRule="auto"/>
        <w:jc w:val="both"/>
        <w:textAlignment w:val="auto"/>
        <w:rPr>
          <w:rFonts w:ascii="Calibri" w:eastAsia="Calibri" w:hAnsi="Calibri" w:cs="Times New Roman"/>
          <w:kern w:val="0"/>
          <w:sz w:val="22"/>
          <w:szCs w:val="22"/>
          <w:lang w:eastAsia="en-US"/>
        </w:rPr>
      </w:pPr>
    </w:p>
    <w:p w14:paraId="627AE4B9" w14:textId="77777777" w:rsidR="00723376" w:rsidRDefault="00723376" w:rsidP="00DE062A">
      <w:pPr>
        <w:widowControl/>
        <w:numPr>
          <w:ilvl w:val="0"/>
          <w:numId w:val="8"/>
        </w:numPr>
        <w:suppressAutoHyphens w:val="0"/>
        <w:autoSpaceDN/>
        <w:spacing w:after="160" w:line="259" w:lineRule="auto"/>
        <w:contextualSpacing/>
        <w:jc w:val="both"/>
        <w:textAlignment w:val="auto"/>
        <w:rPr>
          <w:rFonts w:ascii="Calibri" w:eastAsia="Calibri" w:hAnsi="Calibri" w:cs="Times New Roman"/>
          <w:b/>
          <w:kern w:val="0"/>
          <w:sz w:val="22"/>
          <w:szCs w:val="22"/>
          <w:u w:val="double"/>
          <w:lang w:eastAsia="en-US"/>
        </w:rPr>
      </w:pPr>
      <w:r w:rsidRPr="00723376">
        <w:rPr>
          <w:rFonts w:ascii="Calibri" w:eastAsia="Calibri" w:hAnsi="Calibri" w:cs="Times New Roman"/>
          <w:b/>
          <w:kern w:val="0"/>
          <w:sz w:val="22"/>
          <w:szCs w:val="22"/>
          <w:u w:val="double"/>
          <w:lang w:eastAsia="en-US"/>
        </w:rPr>
        <w:t>POSITION DES PARTIES</w:t>
      </w:r>
    </w:p>
    <w:p w14:paraId="1FA58937" w14:textId="77777777" w:rsidR="00DE062A" w:rsidRPr="00723376" w:rsidRDefault="00DE062A" w:rsidP="00DE062A">
      <w:pPr>
        <w:widowControl/>
        <w:suppressAutoHyphens w:val="0"/>
        <w:autoSpaceDN/>
        <w:spacing w:after="160" w:line="259" w:lineRule="auto"/>
        <w:contextualSpacing/>
        <w:jc w:val="both"/>
        <w:textAlignment w:val="auto"/>
        <w:rPr>
          <w:rFonts w:ascii="Calibri" w:eastAsia="Calibri" w:hAnsi="Calibri" w:cs="Times New Roman"/>
          <w:b/>
          <w:kern w:val="0"/>
          <w:sz w:val="22"/>
          <w:szCs w:val="22"/>
          <w:u w:val="double"/>
          <w:lang w:eastAsia="en-US"/>
        </w:rPr>
      </w:pPr>
    </w:p>
    <w:p w14:paraId="2C8DCE0F"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b/>
          <w:kern w:val="0"/>
          <w:sz w:val="22"/>
          <w:szCs w:val="22"/>
          <w:lang w:eastAsia="en-US"/>
        </w:rPr>
        <w:t xml:space="preserve">Madame </w:t>
      </w:r>
      <w:r w:rsidR="00BB19D1">
        <w:rPr>
          <w:rFonts w:ascii="Calibri" w:eastAsia="Calibri" w:hAnsi="Calibri" w:cs="Times New Roman"/>
          <w:b/>
          <w:kern w:val="0"/>
          <w:sz w:val="22"/>
          <w:szCs w:val="22"/>
          <w:lang w:eastAsia="en-US"/>
        </w:rPr>
        <w:t>X</w:t>
      </w:r>
      <w:r w:rsidRPr="00723376">
        <w:rPr>
          <w:rFonts w:ascii="Calibri" w:eastAsia="Calibri" w:hAnsi="Calibri" w:cs="Times New Roman"/>
          <w:b/>
          <w:kern w:val="0"/>
          <w:sz w:val="22"/>
          <w:szCs w:val="22"/>
          <w:lang w:eastAsia="en-US"/>
        </w:rPr>
        <w:t xml:space="preserve"> </w:t>
      </w:r>
      <w:r w:rsidRPr="00723376">
        <w:rPr>
          <w:rFonts w:ascii="Calibri" w:eastAsia="Calibri" w:hAnsi="Calibri" w:cs="Times New Roman"/>
          <w:kern w:val="0"/>
          <w:sz w:val="22"/>
          <w:szCs w:val="22"/>
          <w:lang w:eastAsia="en-US"/>
        </w:rPr>
        <w:t xml:space="preserve">soutient à titre principal qu’il n’y a pas eu de reprise d’actif après faillite et à titre subsidiaire qu’elle ne peut être considérée comme un travailleur repris car elle a été engagée sous contrat de travail à durée déterminée et doit par conséquent bénéficier de la théorie des </w:t>
      </w:r>
      <w:r w:rsidRPr="00723376">
        <w:rPr>
          <w:rFonts w:ascii="Calibri" w:eastAsia="Calibri" w:hAnsi="Calibri" w:cs="Times New Roman"/>
          <w:kern w:val="0"/>
          <w:sz w:val="22"/>
          <w:szCs w:val="22"/>
          <w:lang w:eastAsia="en-US"/>
        </w:rPr>
        <w:lastRenderedPageBreak/>
        <w:t xml:space="preserve">contrats restrictifs instaurée par l’arrêt de la Cour de cassation du 5 mai 1997. Plus subsidiairement encore, elle considère que si elle doit être qualifiée de travailleur repris dans le cadre d’une reprise d’actif après faillite, la SRL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doit être condamnée à reconnaître son ancienneté depuis le 19 décembre 2012.</w:t>
      </w:r>
    </w:p>
    <w:p w14:paraId="5726EF70"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En termes de plaidoiries, elle reconnaît toutefois que cette reconnaissance d’ancienneté n’a plus d’intérêt puisque son contrat de travail a pris fin pour force majeure médicale.</w:t>
      </w:r>
    </w:p>
    <w:p w14:paraId="0BBC7B4D"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b/>
          <w:kern w:val="0"/>
          <w:sz w:val="22"/>
          <w:szCs w:val="22"/>
          <w:lang w:eastAsia="en-US"/>
        </w:rPr>
        <w:t xml:space="preserve">La SRL </w:t>
      </w:r>
      <w:r w:rsidR="00BB19D1">
        <w:rPr>
          <w:rFonts w:ascii="Calibri" w:eastAsia="Calibri" w:hAnsi="Calibri" w:cs="Times New Roman"/>
          <w:b/>
          <w:kern w:val="0"/>
          <w:sz w:val="22"/>
          <w:szCs w:val="22"/>
          <w:lang w:eastAsia="en-US"/>
        </w:rPr>
        <w:t xml:space="preserve">Y </w:t>
      </w:r>
      <w:r w:rsidRPr="00723376">
        <w:rPr>
          <w:rFonts w:ascii="Calibri" w:eastAsia="Calibri" w:hAnsi="Calibri" w:cs="Times New Roman"/>
          <w:kern w:val="0"/>
          <w:sz w:val="22"/>
          <w:szCs w:val="22"/>
          <w:lang w:eastAsia="en-US"/>
        </w:rPr>
        <w:t>estime qu’il n’y a pas eu de transfert d’entreprise au sens de la CCT n°32 bis et en particulier de son article 6.</w:t>
      </w:r>
    </w:p>
    <w:p w14:paraId="58D2E3C1"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Elle soutient que sa gérante, Madame </w:t>
      </w:r>
      <w:r w:rsidR="00BB19D1">
        <w:rPr>
          <w:rFonts w:ascii="Calibri" w:eastAsia="Calibri" w:hAnsi="Calibri" w:cs="Times New Roman"/>
          <w:kern w:val="0"/>
          <w:sz w:val="22"/>
          <w:szCs w:val="22"/>
          <w:lang w:eastAsia="en-US"/>
        </w:rPr>
        <w:t>S</w:t>
      </w:r>
      <w:r w:rsidRPr="00723376">
        <w:rPr>
          <w:rFonts w:ascii="Calibri" w:eastAsia="Calibri" w:hAnsi="Calibri" w:cs="Times New Roman"/>
          <w:kern w:val="0"/>
          <w:sz w:val="22"/>
          <w:szCs w:val="22"/>
          <w:lang w:eastAsia="en-US"/>
        </w:rPr>
        <w:t xml:space="preserve">, a décidé de lancer sa propre activité par le biais de cette société et que le fait que les activités de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et de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 xml:space="preserve">sont similaires n’est pas suffisant pour considérer qu’il y a eu reprise d’actif après faillite. Elle soutient qu’il n’y a eu aucun transfert de clientèle, aucun démarchage, aucune publicité ciblée à l’attention de la clientèle de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aucune poursuite de l’identité, aucun lien fonctionnel entre quelque acteur que ce soit. Elle ajoute qu’il n’y a du reste pas eu le moindre accord entre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et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 xml:space="preserve">pour un transfert d’activité. </w:t>
      </w:r>
    </w:p>
    <w:p w14:paraId="2D785874"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Sur l’interpellation de l’Auditorat du travail,</w:t>
      </w:r>
    </w:p>
    <w:p w14:paraId="7CE61ED9" w14:textId="77777777" w:rsidR="00723376" w:rsidRPr="00723376" w:rsidRDefault="00FA456C"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 xml:space="preserve">La SRL </w:t>
      </w:r>
      <w:r w:rsidR="00BB19D1">
        <w:rPr>
          <w:rFonts w:ascii="Calibri" w:eastAsia="Calibri" w:hAnsi="Calibri" w:cs="Times New Roman"/>
          <w:kern w:val="0"/>
          <w:sz w:val="22"/>
          <w:szCs w:val="22"/>
          <w:lang w:eastAsia="en-US"/>
        </w:rPr>
        <w:t xml:space="preserve">Y </w:t>
      </w:r>
      <w:r w:rsidR="00723376" w:rsidRPr="00723376">
        <w:rPr>
          <w:rFonts w:ascii="Calibri" w:eastAsia="Calibri" w:hAnsi="Calibri" w:cs="Times New Roman"/>
          <w:kern w:val="0"/>
          <w:sz w:val="22"/>
          <w:szCs w:val="22"/>
          <w:lang w:eastAsia="en-US"/>
        </w:rPr>
        <w:t xml:space="preserve">précise que le choix du nom « VIP » n’est pas lié au fait que </w:t>
      </w:r>
      <w:r w:rsidR="00BB19D1">
        <w:rPr>
          <w:rFonts w:ascii="Calibri" w:eastAsia="Calibri" w:hAnsi="Calibri" w:cs="Times New Roman"/>
          <w:kern w:val="0"/>
          <w:sz w:val="22"/>
          <w:szCs w:val="22"/>
          <w:lang w:eastAsia="en-US"/>
        </w:rPr>
        <w:t>Z</w:t>
      </w:r>
      <w:r w:rsidR="00723376" w:rsidRPr="00723376">
        <w:rPr>
          <w:rFonts w:ascii="Calibri" w:eastAsia="Calibri" w:hAnsi="Calibri" w:cs="Times New Roman"/>
          <w:kern w:val="0"/>
          <w:sz w:val="22"/>
          <w:szCs w:val="22"/>
          <w:lang w:eastAsia="en-US"/>
        </w:rPr>
        <w:t xml:space="preserve"> exploitait son salon sous</w:t>
      </w:r>
      <w:r w:rsidR="00BB19D1">
        <w:rPr>
          <w:rFonts w:ascii="Calibri" w:eastAsia="Calibri" w:hAnsi="Calibri" w:cs="Times New Roman"/>
          <w:kern w:val="0"/>
          <w:sz w:val="22"/>
          <w:szCs w:val="22"/>
          <w:lang w:eastAsia="en-US"/>
        </w:rPr>
        <w:t xml:space="preserve"> la dénomination commerciale « C</w:t>
      </w:r>
      <w:r w:rsidR="00723376" w:rsidRPr="00723376">
        <w:rPr>
          <w:rFonts w:ascii="Calibri" w:eastAsia="Calibri" w:hAnsi="Calibri" w:cs="Times New Roman"/>
          <w:kern w:val="0"/>
          <w:sz w:val="22"/>
          <w:szCs w:val="22"/>
          <w:lang w:eastAsia="en-US"/>
        </w:rPr>
        <w:t xml:space="preserve"> VIP », mais constitue seulement une « stratégie positionnement ». </w:t>
      </w:r>
    </w:p>
    <w:p w14:paraId="233A5A54" w14:textId="77777777" w:rsid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Quant au choix d’un contrat à durée déterminée pour l’engagement de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elle soutient qu’il s’agissait d’un choix de prudence afin de vérifier l’obtention de diverses primes et la viabilité de l’activité.</w:t>
      </w:r>
    </w:p>
    <w:p w14:paraId="10A806C9" w14:textId="77777777" w:rsidR="00FA456C" w:rsidRPr="00723376" w:rsidRDefault="00FA456C" w:rsidP="00FA456C">
      <w:pPr>
        <w:widowControl/>
        <w:suppressAutoHyphens w:val="0"/>
        <w:autoSpaceDN/>
        <w:spacing w:after="160" w:line="259" w:lineRule="auto"/>
        <w:ind w:left="405"/>
        <w:contextualSpacing/>
        <w:jc w:val="both"/>
        <w:textAlignment w:val="auto"/>
        <w:rPr>
          <w:rFonts w:ascii="Calibri" w:eastAsia="Calibri" w:hAnsi="Calibri" w:cs="Times New Roman"/>
          <w:kern w:val="0"/>
          <w:sz w:val="22"/>
          <w:szCs w:val="22"/>
          <w:lang w:eastAsia="en-US"/>
        </w:rPr>
      </w:pPr>
    </w:p>
    <w:p w14:paraId="1918FE53"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Elle demande donc que la demande de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dirigée à son encontre soit déclarée non fondée.</w:t>
      </w:r>
    </w:p>
    <w:p w14:paraId="6EE17D8E"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b/>
          <w:kern w:val="0"/>
          <w:sz w:val="22"/>
          <w:szCs w:val="22"/>
          <w:lang w:eastAsia="en-US"/>
        </w:rPr>
        <w:t>Le</w:t>
      </w:r>
      <w:r w:rsidR="00FA456C">
        <w:rPr>
          <w:rFonts w:ascii="Calibri" w:eastAsia="Calibri" w:hAnsi="Calibri" w:cs="Times New Roman"/>
          <w:b/>
          <w:kern w:val="0"/>
          <w:sz w:val="22"/>
          <w:szCs w:val="22"/>
          <w:lang w:eastAsia="en-US"/>
        </w:rPr>
        <w:t xml:space="preserve"> F.F.E. </w:t>
      </w:r>
      <w:r w:rsidRPr="00723376">
        <w:rPr>
          <w:rFonts w:ascii="Calibri" w:eastAsia="Calibri" w:hAnsi="Calibri" w:cs="Times New Roman"/>
          <w:kern w:val="0"/>
          <w:sz w:val="22"/>
          <w:szCs w:val="22"/>
          <w:lang w:eastAsia="en-US"/>
        </w:rPr>
        <w:t xml:space="preserve">estime que les conditions légales d’une reprise d’actif après faillite au sens des articles 7, 1° de la loi du 26 juin 2002 relative aux fermetures d’entreprise et 2, 5° de la CCT 32 bis sont rencontrées, d’autant que la notion de « reprise d’actif après </w:t>
      </w:r>
      <w:r w:rsidR="00FA456C">
        <w:rPr>
          <w:rFonts w:ascii="Calibri" w:eastAsia="Calibri" w:hAnsi="Calibri" w:cs="Times New Roman"/>
          <w:kern w:val="0"/>
          <w:sz w:val="22"/>
          <w:szCs w:val="22"/>
          <w:lang w:eastAsia="en-US"/>
        </w:rPr>
        <w:t>faillite »</w:t>
      </w:r>
      <w:r w:rsidRPr="00723376">
        <w:rPr>
          <w:rFonts w:ascii="Calibri" w:eastAsia="Calibri" w:hAnsi="Calibri" w:cs="Times New Roman"/>
          <w:kern w:val="0"/>
          <w:sz w:val="22"/>
          <w:szCs w:val="22"/>
          <w:lang w:eastAsia="en-US"/>
        </w:rPr>
        <w:t xml:space="preserve">  doit être interprétée largement afin de protéger les travailleurs. </w:t>
      </w:r>
    </w:p>
    <w:p w14:paraId="5B9AB4C2"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Il considère en outre que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est bien un travailleur repris même si elle a été engagée sous contrat de travail à durée déterminée car ce contrat a été suivi, dès le jour ouvrable suivant (c’est-à-dire le mardi suivant le vendredi de fin du contrat de travail à durée déterminée)</w:t>
      </w:r>
      <w:r w:rsidR="00FA456C">
        <w:rPr>
          <w:rFonts w:ascii="Calibri" w:eastAsia="Calibri" w:hAnsi="Calibri" w:cs="Times New Roman"/>
          <w:kern w:val="0"/>
          <w:sz w:val="22"/>
          <w:szCs w:val="22"/>
          <w:lang w:eastAsia="en-US"/>
        </w:rPr>
        <w:t>,</w:t>
      </w:r>
      <w:r w:rsidRPr="00723376">
        <w:rPr>
          <w:rFonts w:ascii="Calibri" w:eastAsia="Calibri" w:hAnsi="Calibri" w:cs="Times New Roman"/>
          <w:kern w:val="0"/>
          <w:sz w:val="22"/>
          <w:szCs w:val="22"/>
          <w:lang w:eastAsia="en-US"/>
        </w:rPr>
        <w:t xml:space="preserve"> d’un contrat à durée indéterminée prévoyant exactement les mêmes conditions de travail (horaires, rémunération, etc.). Il rappelle en outre que le contrat à durée indéterminée a été signé dans le délai de 4 mois suivant la reprise de l’actif.</w:t>
      </w:r>
    </w:p>
    <w:p w14:paraId="59156033" w14:textId="77777777" w:rsid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Il </w:t>
      </w:r>
      <w:r w:rsidR="00FA456C">
        <w:rPr>
          <w:rFonts w:ascii="Calibri" w:eastAsia="Calibri" w:hAnsi="Calibri" w:cs="Times New Roman"/>
          <w:kern w:val="0"/>
          <w:sz w:val="22"/>
          <w:szCs w:val="22"/>
          <w:lang w:eastAsia="en-US"/>
        </w:rPr>
        <w:t>sollicite</w:t>
      </w:r>
      <w:r w:rsidRPr="00723376">
        <w:rPr>
          <w:rFonts w:ascii="Calibri" w:eastAsia="Calibri" w:hAnsi="Calibri" w:cs="Times New Roman"/>
          <w:kern w:val="0"/>
          <w:sz w:val="22"/>
          <w:szCs w:val="22"/>
          <w:lang w:eastAsia="en-US"/>
        </w:rPr>
        <w:t xml:space="preserve"> donc que la demande de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soit déclarée non fondée à son égard.</w:t>
      </w:r>
    </w:p>
    <w:p w14:paraId="241869AF" w14:textId="77777777" w:rsidR="00DE062A" w:rsidRDefault="00DE062A"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p>
    <w:p w14:paraId="579B1A4A" w14:textId="77777777" w:rsidR="00DE062A" w:rsidRDefault="00DE062A"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p>
    <w:p w14:paraId="744C802A" w14:textId="77777777" w:rsidR="00DE062A" w:rsidRPr="00723376" w:rsidRDefault="00DE062A" w:rsidP="00DE062A">
      <w:pPr>
        <w:widowControl/>
        <w:suppressAutoHyphens w:val="0"/>
        <w:autoSpaceDN/>
        <w:spacing w:line="259" w:lineRule="auto"/>
        <w:jc w:val="both"/>
        <w:textAlignment w:val="auto"/>
        <w:rPr>
          <w:rFonts w:ascii="Calibri" w:eastAsia="Calibri" w:hAnsi="Calibri" w:cs="Times New Roman"/>
          <w:kern w:val="0"/>
          <w:sz w:val="22"/>
          <w:szCs w:val="22"/>
          <w:lang w:eastAsia="en-US"/>
        </w:rPr>
      </w:pPr>
    </w:p>
    <w:p w14:paraId="35DDD20E" w14:textId="77777777" w:rsidR="00723376" w:rsidRDefault="00723376" w:rsidP="00DE062A">
      <w:pPr>
        <w:widowControl/>
        <w:numPr>
          <w:ilvl w:val="0"/>
          <w:numId w:val="8"/>
        </w:numPr>
        <w:suppressAutoHyphens w:val="0"/>
        <w:autoSpaceDN/>
        <w:spacing w:line="259" w:lineRule="auto"/>
        <w:contextualSpacing/>
        <w:textAlignment w:val="auto"/>
        <w:rPr>
          <w:rFonts w:ascii="Calibri" w:eastAsia="Calibri" w:hAnsi="Calibri" w:cs="Times New Roman"/>
          <w:b/>
          <w:kern w:val="0"/>
          <w:sz w:val="22"/>
          <w:szCs w:val="22"/>
          <w:u w:val="double"/>
          <w:lang w:eastAsia="en-US"/>
        </w:rPr>
      </w:pPr>
      <w:r w:rsidRPr="00723376">
        <w:rPr>
          <w:rFonts w:ascii="Calibri" w:eastAsia="Calibri" w:hAnsi="Calibri" w:cs="Times New Roman"/>
          <w:b/>
          <w:kern w:val="0"/>
          <w:sz w:val="22"/>
          <w:szCs w:val="22"/>
          <w:u w:val="double"/>
          <w:lang w:eastAsia="en-US"/>
        </w:rPr>
        <w:t>AVIS ECRIT DE L’AUDITORAT DU TRAVAIL</w:t>
      </w:r>
    </w:p>
    <w:p w14:paraId="19D0343C" w14:textId="77777777" w:rsidR="00DE062A" w:rsidRPr="00723376" w:rsidRDefault="00DE062A" w:rsidP="00DE062A">
      <w:pPr>
        <w:widowControl/>
        <w:suppressAutoHyphens w:val="0"/>
        <w:autoSpaceDN/>
        <w:spacing w:line="259" w:lineRule="auto"/>
        <w:contextualSpacing/>
        <w:textAlignment w:val="auto"/>
        <w:rPr>
          <w:rFonts w:ascii="Calibri" w:eastAsia="Calibri" w:hAnsi="Calibri" w:cs="Times New Roman"/>
          <w:b/>
          <w:kern w:val="0"/>
          <w:sz w:val="22"/>
          <w:szCs w:val="22"/>
          <w:u w:val="double"/>
          <w:lang w:eastAsia="en-US"/>
        </w:rPr>
      </w:pPr>
    </w:p>
    <w:p w14:paraId="6370B0C5"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L’Auditorat du travail considère que :</w:t>
      </w:r>
    </w:p>
    <w:p w14:paraId="753A60A3" w14:textId="77777777" w:rsidR="00723376" w:rsidRP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la SRL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 xml:space="preserve">a repris l’actif après faillite de la société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w:t>
      </w:r>
    </w:p>
    <w:p w14:paraId="5B9A3CB5" w14:textId="77777777" w:rsidR="00723376" w:rsidRDefault="00723376" w:rsidP="00DE062A">
      <w:pPr>
        <w:widowControl/>
        <w:numPr>
          <w:ilvl w:val="0"/>
          <w:numId w:val="10"/>
        </w:numPr>
        <w:suppressAutoHyphens w:val="0"/>
        <w:autoSpaceDN/>
        <w:spacing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lastRenderedPageBreak/>
        <w:t xml:space="preserve">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est un travailleur repris car elle a été engagée sous contrat de travail à durée indéterminée dans les 4 mois de la reprise.</w:t>
      </w:r>
    </w:p>
    <w:p w14:paraId="4717D062" w14:textId="77777777" w:rsidR="00DE062A" w:rsidRPr="00723376" w:rsidRDefault="00DE062A" w:rsidP="00DE062A">
      <w:pPr>
        <w:widowControl/>
        <w:suppressAutoHyphens w:val="0"/>
        <w:autoSpaceDN/>
        <w:spacing w:line="259" w:lineRule="auto"/>
        <w:contextualSpacing/>
        <w:jc w:val="both"/>
        <w:textAlignment w:val="auto"/>
        <w:rPr>
          <w:rFonts w:ascii="Calibri" w:eastAsia="Calibri" w:hAnsi="Calibri" w:cs="Times New Roman"/>
          <w:kern w:val="0"/>
          <w:sz w:val="22"/>
          <w:szCs w:val="22"/>
          <w:lang w:eastAsia="en-US"/>
        </w:rPr>
      </w:pPr>
    </w:p>
    <w:p w14:paraId="77A21744" w14:textId="77777777" w:rsidR="00723376" w:rsidRDefault="00723376" w:rsidP="00DE062A">
      <w:pPr>
        <w:widowControl/>
        <w:suppressAutoHyphens w:val="0"/>
        <w:autoSpaceDN/>
        <w:spacing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Il en conclut que le</w:t>
      </w:r>
      <w:r w:rsidR="00FA456C">
        <w:rPr>
          <w:rFonts w:ascii="Calibri" w:eastAsia="Calibri" w:hAnsi="Calibri" w:cs="Times New Roman"/>
          <w:kern w:val="0"/>
          <w:sz w:val="22"/>
          <w:szCs w:val="22"/>
          <w:lang w:eastAsia="en-US"/>
        </w:rPr>
        <w:t xml:space="preserve"> F.F.E. </w:t>
      </w:r>
      <w:r w:rsidRPr="00723376">
        <w:rPr>
          <w:rFonts w:ascii="Calibri" w:eastAsia="Calibri" w:hAnsi="Calibri" w:cs="Times New Roman"/>
          <w:kern w:val="0"/>
          <w:sz w:val="22"/>
          <w:szCs w:val="22"/>
          <w:lang w:eastAsia="en-US"/>
        </w:rPr>
        <w:t xml:space="preserve">n’est pas redevable de l’indemnité de rupture à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et que celle-ci peut prétendre à la reconnaissance </w:t>
      </w:r>
      <w:r w:rsidR="00BB19D1">
        <w:rPr>
          <w:rFonts w:ascii="Calibri" w:eastAsia="Calibri" w:hAnsi="Calibri" w:cs="Times New Roman"/>
          <w:kern w:val="0"/>
          <w:sz w:val="22"/>
          <w:szCs w:val="22"/>
          <w:lang w:eastAsia="en-US"/>
        </w:rPr>
        <w:t>de son ancienneté par la SRL Y</w:t>
      </w:r>
      <w:r w:rsidRPr="00723376">
        <w:rPr>
          <w:rFonts w:ascii="Calibri" w:eastAsia="Calibri" w:hAnsi="Calibri" w:cs="Times New Roman"/>
          <w:kern w:val="0"/>
          <w:sz w:val="22"/>
          <w:szCs w:val="22"/>
          <w:lang w:eastAsia="en-US"/>
        </w:rPr>
        <w:t>.</w:t>
      </w:r>
    </w:p>
    <w:p w14:paraId="2063797A" w14:textId="77777777" w:rsidR="00DE062A" w:rsidRPr="00723376" w:rsidRDefault="00DE062A" w:rsidP="00DE062A">
      <w:pPr>
        <w:widowControl/>
        <w:suppressAutoHyphens w:val="0"/>
        <w:autoSpaceDN/>
        <w:spacing w:line="259" w:lineRule="auto"/>
        <w:jc w:val="both"/>
        <w:textAlignment w:val="auto"/>
        <w:rPr>
          <w:rFonts w:ascii="Calibri" w:eastAsia="Calibri" w:hAnsi="Calibri" w:cs="Times New Roman"/>
          <w:kern w:val="0"/>
          <w:sz w:val="22"/>
          <w:szCs w:val="22"/>
          <w:lang w:eastAsia="en-US"/>
        </w:rPr>
      </w:pPr>
    </w:p>
    <w:p w14:paraId="2337F4D8" w14:textId="77777777" w:rsidR="00723376" w:rsidRDefault="00723376" w:rsidP="00DE062A">
      <w:pPr>
        <w:widowControl/>
        <w:numPr>
          <w:ilvl w:val="0"/>
          <w:numId w:val="8"/>
        </w:numPr>
        <w:suppressAutoHyphens w:val="0"/>
        <w:autoSpaceDN/>
        <w:spacing w:after="160" w:line="259" w:lineRule="auto"/>
        <w:contextualSpacing/>
        <w:jc w:val="both"/>
        <w:textAlignment w:val="auto"/>
        <w:rPr>
          <w:rFonts w:ascii="Calibri" w:eastAsia="Calibri" w:hAnsi="Calibri" w:cs="Times New Roman"/>
          <w:b/>
          <w:kern w:val="0"/>
          <w:sz w:val="22"/>
          <w:szCs w:val="22"/>
          <w:u w:val="double"/>
          <w:lang w:eastAsia="en-US"/>
        </w:rPr>
      </w:pPr>
      <w:r w:rsidRPr="00723376">
        <w:rPr>
          <w:rFonts w:ascii="Calibri" w:eastAsia="Calibri" w:hAnsi="Calibri" w:cs="Times New Roman"/>
          <w:b/>
          <w:kern w:val="0"/>
          <w:sz w:val="22"/>
          <w:szCs w:val="22"/>
          <w:u w:val="double"/>
          <w:lang w:eastAsia="en-US"/>
        </w:rPr>
        <w:t>POSITION DU TRIBUNAL</w:t>
      </w:r>
    </w:p>
    <w:p w14:paraId="34B8CCCC" w14:textId="77777777" w:rsidR="00DE062A" w:rsidRPr="00723376" w:rsidRDefault="00DE062A" w:rsidP="00DE062A">
      <w:pPr>
        <w:widowControl/>
        <w:suppressAutoHyphens w:val="0"/>
        <w:autoSpaceDN/>
        <w:spacing w:after="160" w:line="259" w:lineRule="auto"/>
        <w:contextualSpacing/>
        <w:jc w:val="both"/>
        <w:textAlignment w:val="auto"/>
        <w:rPr>
          <w:rFonts w:ascii="Calibri" w:eastAsia="Calibri" w:hAnsi="Calibri" w:cs="Times New Roman"/>
          <w:b/>
          <w:kern w:val="0"/>
          <w:sz w:val="22"/>
          <w:szCs w:val="22"/>
          <w:u w:val="double"/>
          <w:lang w:eastAsia="en-US"/>
        </w:rPr>
      </w:pPr>
    </w:p>
    <w:p w14:paraId="30958F25" w14:textId="77777777" w:rsid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La question que le Tribunal doit régler est la suivante :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a-t-elle droit à charge du F</w:t>
      </w:r>
      <w:r w:rsidR="00FA456C">
        <w:rPr>
          <w:rFonts w:ascii="Calibri" w:eastAsia="Calibri" w:hAnsi="Calibri" w:cs="Times New Roman"/>
          <w:kern w:val="0"/>
          <w:sz w:val="22"/>
          <w:szCs w:val="22"/>
          <w:lang w:eastAsia="en-US"/>
        </w:rPr>
        <w:t>.</w:t>
      </w:r>
      <w:r w:rsidRPr="00723376">
        <w:rPr>
          <w:rFonts w:ascii="Calibri" w:eastAsia="Calibri" w:hAnsi="Calibri" w:cs="Times New Roman"/>
          <w:kern w:val="0"/>
          <w:sz w:val="22"/>
          <w:szCs w:val="22"/>
          <w:lang w:eastAsia="en-US"/>
        </w:rPr>
        <w:t>F</w:t>
      </w:r>
      <w:r w:rsidR="00FA456C">
        <w:rPr>
          <w:rFonts w:ascii="Calibri" w:eastAsia="Calibri" w:hAnsi="Calibri" w:cs="Times New Roman"/>
          <w:kern w:val="0"/>
          <w:sz w:val="22"/>
          <w:szCs w:val="22"/>
          <w:lang w:eastAsia="en-US"/>
        </w:rPr>
        <w:t>.</w:t>
      </w:r>
      <w:r w:rsidRPr="00723376">
        <w:rPr>
          <w:rFonts w:ascii="Calibri" w:eastAsia="Calibri" w:hAnsi="Calibri" w:cs="Times New Roman"/>
          <w:kern w:val="0"/>
          <w:sz w:val="22"/>
          <w:szCs w:val="22"/>
          <w:lang w:eastAsia="en-US"/>
        </w:rPr>
        <w:t>E</w:t>
      </w:r>
      <w:r w:rsidR="00FA456C">
        <w:rPr>
          <w:rFonts w:ascii="Calibri" w:eastAsia="Calibri" w:hAnsi="Calibri" w:cs="Times New Roman"/>
          <w:kern w:val="0"/>
          <w:sz w:val="22"/>
          <w:szCs w:val="22"/>
          <w:lang w:eastAsia="en-US"/>
        </w:rPr>
        <w:t>.</w:t>
      </w:r>
      <w:r w:rsidRPr="00723376">
        <w:rPr>
          <w:rFonts w:ascii="Calibri" w:eastAsia="Calibri" w:hAnsi="Calibri" w:cs="Times New Roman"/>
          <w:kern w:val="0"/>
          <w:sz w:val="22"/>
          <w:szCs w:val="22"/>
          <w:lang w:eastAsia="en-US"/>
        </w:rPr>
        <w:t xml:space="preserve">, au paiement de l’indemnité de rupture qui lui était due par la société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w:t>
      </w:r>
    </w:p>
    <w:p w14:paraId="74A13A88" w14:textId="77777777" w:rsidR="00723376" w:rsidRDefault="00723376" w:rsidP="00DE062A">
      <w:pPr>
        <w:widowControl/>
        <w:suppressAutoHyphens w:val="0"/>
        <w:autoSpaceDN/>
        <w:spacing w:line="259" w:lineRule="auto"/>
        <w:ind w:left="360"/>
        <w:jc w:val="both"/>
        <w:textAlignment w:val="auto"/>
        <w:rPr>
          <w:rFonts w:ascii="Calibri" w:eastAsia="Calibri" w:hAnsi="Calibri" w:cs="Times New Roman"/>
          <w:b/>
          <w:kern w:val="0"/>
          <w:sz w:val="22"/>
          <w:szCs w:val="22"/>
          <w:u w:val="single"/>
          <w:lang w:eastAsia="en-US"/>
        </w:rPr>
      </w:pPr>
      <w:r w:rsidRPr="00723376">
        <w:rPr>
          <w:rFonts w:ascii="Calibri" w:eastAsia="Calibri" w:hAnsi="Calibri" w:cs="Times New Roman"/>
          <w:b/>
          <w:kern w:val="0"/>
          <w:sz w:val="22"/>
          <w:szCs w:val="22"/>
          <w:u w:val="single"/>
          <w:lang w:eastAsia="en-US"/>
        </w:rPr>
        <w:t>V.1. RAPPEL DES PRINCIPES</w:t>
      </w:r>
    </w:p>
    <w:p w14:paraId="684F672B" w14:textId="77777777" w:rsidR="00DE062A" w:rsidRPr="00723376" w:rsidRDefault="00DE062A" w:rsidP="00DE062A">
      <w:pPr>
        <w:widowControl/>
        <w:suppressAutoHyphens w:val="0"/>
        <w:autoSpaceDN/>
        <w:spacing w:line="259" w:lineRule="auto"/>
        <w:jc w:val="both"/>
        <w:textAlignment w:val="auto"/>
        <w:rPr>
          <w:rFonts w:ascii="Calibri" w:eastAsia="Calibri" w:hAnsi="Calibri" w:cs="Times New Roman"/>
          <w:b/>
          <w:kern w:val="0"/>
          <w:sz w:val="22"/>
          <w:szCs w:val="22"/>
          <w:u w:val="single"/>
          <w:lang w:eastAsia="en-US"/>
        </w:rPr>
      </w:pPr>
    </w:p>
    <w:p w14:paraId="4935CEE3" w14:textId="77777777" w:rsidR="00723376" w:rsidRPr="00723376" w:rsidRDefault="00723376" w:rsidP="00DE062A">
      <w:pPr>
        <w:widowControl/>
        <w:suppressAutoHyphens w:val="0"/>
        <w:autoSpaceDN/>
        <w:spacing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1.</w:t>
      </w:r>
    </w:p>
    <w:p w14:paraId="304EB461"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La reprise d’actif après faillite est définie de la même façon par la CCT n°32 bis et par la loi du 26 juin 2002 relative aux fermetures d’entreprise, comme étant :</w:t>
      </w:r>
    </w:p>
    <w:p w14:paraId="566AC5E1"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i/>
          <w:kern w:val="0"/>
          <w:sz w:val="22"/>
          <w:szCs w:val="22"/>
          <w:lang w:eastAsia="en-US"/>
        </w:rPr>
      </w:pPr>
      <w:r w:rsidRPr="00723376">
        <w:rPr>
          <w:rFonts w:ascii="Calibri" w:eastAsia="Calibri" w:hAnsi="Calibri" w:cs="Times New Roman"/>
          <w:i/>
          <w:kern w:val="0"/>
          <w:sz w:val="22"/>
          <w:szCs w:val="22"/>
          <w:lang w:eastAsia="en-US"/>
        </w:rPr>
        <w:t>« - soit l'établissement d'un droit réel sur tout ou partie de l'actif d'une entreprise en faillite avec la poursuite de l'activité principale de l'entreprise ou d'une division de celle-ci ;</w:t>
      </w:r>
    </w:p>
    <w:p w14:paraId="59361E01"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i/>
          <w:kern w:val="0"/>
          <w:sz w:val="22"/>
          <w:szCs w:val="22"/>
          <w:lang w:eastAsia="en-US"/>
        </w:rPr>
        <w:t>- soit la poursuite de l'activité principale de l'entreprise ou d'une division de celle-ci par un employeur qui n'a pas repris tout ou partie de l'actif de l'entreprise en faillite ; il est indifférent que l'activité principale de l'entreprise soit poursuivie avec des travailleurs réengagés par l'employeur qui a repris l'actif ou par des tiers</w:t>
      </w:r>
      <w:r w:rsidRPr="00723376">
        <w:rPr>
          <w:rFonts w:ascii="Calibri" w:eastAsia="Calibri" w:hAnsi="Calibri" w:cs="Times New Roman"/>
          <w:kern w:val="0"/>
          <w:sz w:val="22"/>
          <w:szCs w:val="22"/>
          <w:lang w:eastAsia="en-US"/>
        </w:rPr>
        <w:t> » (article 2, 5° de la CCT n°32 bis et article 7, 1° de la loi du 26 juin 2002)</w:t>
      </w:r>
    </w:p>
    <w:p w14:paraId="0C2A0154" w14:textId="77777777" w:rsidR="00723376" w:rsidRPr="00723376" w:rsidRDefault="00723376" w:rsidP="00723376">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2.</w:t>
      </w:r>
    </w:p>
    <w:p w14:paraId="4281BBBF" w14:textId="77777777" w:rsidR="00723376" w:rsidRPr="00723376" w:rsidRDefault="00723376" w:rsidP="00723376">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En cas de reprise d’actif après faillite, il résulte du chapitre III de la CCT n°32 bis et de la loi du 26 juin 2002 sur les fermetures d’entreprise que :</w:t>
      </w:r>
    </w:p>
    <w:p w14:paraId="060C6C20" w14:textId="77777777" w:rsidR="00723376" w:rsidRPr="00723376" w:rsidRDefault="00723376" w:rsidP="00723376">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Les travailleurs dont l’activité a été interrompue à la suite de la faillite et qui ont été réengagés par le repreneur ont droit, sous certaines conditions, à une indemnité de transition à charge du</w:t>
      </w:r>
      <w:r w:rsidR="00FA456C">
        <w:rPr>
          <w:rFonts w:ascii="Calibri" w:eastAsia="Calibri" w:hAnsi="Calibri" w:cs="Times New Roman"/>
          <w:kern w:val="0"/>
          <w:sz w:val="22"/>
          <w:szCs w:val="22"/>
          <w:lang w:eastAsia="en-US"/>
        </w:rPr>
        <w:t xml:space="preserve"> F.F.E. </w:t>
      </w:r>
      <w:r w:rsidRPr="00723376">
        <w:rPr>
          <w:rFonts w:ascii="Calibri" w:eastAsia="Calibri" w:hAnsi="Calibri" w:cs="Times New Roman"/>
          <w:kern w:val="0"/>
          <w:sz w:val="22"/>
          <w:szCs w:val="22"/>
          <w:lang w:eastAsia="en-US"/>
        </w:rPr>
        <w:t>pour la période d’interruption de leur activité (articles 41 et 42 de la loi du 26 juin 2002) ;</w:t>
      </w:r>
    </w:p>
    <w:p w14:paraId="259CC405" w14:textId="77777777" w:rsidR="00723376" w:rsidRPr="00723376" w:rsidRDefault="00723376" w:rsidP="00723376">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Les travailleurs de l’entreprise </w:t>
      </w:r>
      <w:proofErr w:type="spellStart"/>
      <w:r w:rsidRPr="00723376">
        <w:rPr>
          <w:rFonts w:ascii="Calibri" w:eastAsia="Calibri" w:hAnsi="Calibri" w:cs="Times New Roman"/>
          <w:kern w:val="0"/>
          <w:sz w:val="22"/>
          <w:szCs w:val="22"/>
          <w:lang w:eastAsia="en-US"/>
        </w:rPr>
        <w:t>faillie</w:t>
      </w:r>
      <w:proofErr w:type="spellEnd"/>
      <w:r w:rsidRPr="00723376">
        <w:rPr>
          <w:rFonts w:ascii="Calibri" w:eastAsia="Calibri" w:hAnsi="Calibri" w:cs="Times New Roman"/>
          <w:kern w:val="0"/>
          <w:sz w:val="22"/>
          <w:szCs w:val="22"/>
          <w:lang w:eastAsia="en-US"/>
        </w:rPr>
        <w:t xml:space="preserve"> ne sont pas automatiquement transférés au repreneur de l’actif ; le repreneur a donc le droit de choisir les travailleurs qu’il désire reprendre</w:t>
      </w:r>
      <w:r w:rsidRPr="00723376">
        <w:rPr>
          <w:rFonts w:ascii="Calibri" w:eastAsia="Calibri" w:hAnsi="Calibri" w:cs="Times New Roman"/>
          <w:kern w:val="0"/>
          <w:sz w:val="22"/>
          <w:szCs w:val="22"/>
          <w:vertAlign w:val="superscript"/>
          <w:lang w:eastAsia="en-US"/>
        </w:rPr>
        <w:footnoteReference w:id="1"/>
      </w:r>
      <w:r w:rsidRPr="00723376">
        <w:rPr>
          <w:rFonts w:ascii="Calibri" w:eastAsia="Calibri" w:hAnsi="Calibri" w:cs="Times New Roman"/>
          <w:kern w:val="0"/>
          <w:sz w:val="22"/>
          <w:szCs w:val="22"/>
          <w:lang w:eastAsia="en-US"/>
        </w:rPr>
        <w:t> ; la protection des travailleurs est moindre que dans le cas d’un transfert conventionnel d’entreprise tel que réglé par le Chapitre II de la CCT n° 32 bis ;</w:t>
      </w:r>
    </w:p>
    <w:p w14:paraId="0A18B6BB" w14:textId="77777777" w:rsidR="00723376" w:rsidRPr="00723376" w:rsidRDefault="00723376" w:rsidP="00723376">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Le repreneur n’est pas tenu de maintenir les conditions individuelles de travail des travailleurs qu’il souhaite reprendre ; il doit en revanche, sauf négociations collectives, maintenir les conditions de travail conclues ou appliquées collectivement chez l’ancien employeur (article 13 CCT n° 32 bis) ;</w:t>
      </w:r>
    </w:p>
    <w:p w14:paraId="7126DF46" w14:textId="77777777" w:rsidR="00723376" w:rsidRPr="00723376" w:rsidRDefault="00723376" w:rsidP="00DE062A">
      <w:pPr>
        <w:widowControl/>
        <w:numPr>
          <w:ilvl w:val="0"/>
          <w:numId w:val="10"/>
        </w:numPr>
        <w:suppressAutoHyphens w:val="0"/>
        <w:autoSpaceDN/>
        <w:spacing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L'ancienneté acquise par le travailleur en raison de ses prestations de travail chez l'ancien employeur, de même que la période éventuelle d'interruption d'activité du travailleur précédant son nouvel engagement, à la suite de la faillite (...), sont prises en considération pour la détermination du délai ou de l'indemnité de préavis chez le nouvel employeur. (article 14 CCT n°32 bis)</w:t>
      </w:r>
    </w:p>
    <w:p w14:paraId="7B507B3C" w14:textId="77777777" w:rsidR="00DE062A" w:rsidRDefault="00DE062A" w:rsidP="00DE062A">
      <w:pPr>
        <w:widowControl/>
        <w:suppressAutoHyphens w:val="0"/>
        <w:autoSpaceDN/>
        <w:spacing w:line="259" w:lineRule="auto"/>
        <w:jc w:val="both"/>
        <w:textAlignment w:val="auto"/>
        <w:rPr>
          <w:rFonts w:ascii="Calibri" w:eastAsia="Calibri" w:hAnsi="Calibri" w:cs="Times New Roman"/>
          <w:kern w:val="0"/>
          <w:sz w:val="22"/>
          <w:szCs w:val="22"/>
          <w:lang w:eastAsia="en-US"/>
        </w:rPr>
      </w:pPr>
    </w:p>
    <w:p w14:paraId="5994A1E9" w14:textId="77777777" w:rsidR="00723376" w:rsidRPr="00723376" w:rsidRDefault="00723376" w:rsidP="00DE062A">
      <w:pPr>
        <w:widowControl/>
        <w:suppressAutoHyphens w:val="0"/>
        <w:autoSpaceDN/>
        <w:spacing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lastRenderedPageBreak/>
        <w:t>3.</w:t>
      </w:r>
    </w:p>
    <w:p w14:paraId="36143DE3" w14:textId="77777777" w:rsidR="00723376" w:rsidRPr="00723376" w:rsidRDefault="00723376" w:rsidP="00723376">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Le travailleur qui a droit à une indemnité de transition, n’a pas droit à charge du</w:t>
      </w:r>
      <w:r w:rsidR="00FA456C">
        <w:rPr>
          <w:rFonts w:ascii="Calibri" w:eastAsia="Calibri" w:hAnsi="Calibri" w:cs="Times New Roman"/>
          <w:kern w:val="0"/>
          <w:sz w:val="22"/>
          <w:szCs w:val="22"/>
          <w:lang w:eastAsia="en-US"/>
        </w:rPr>
        <w:t xml:space="preserve"> F.F.E. </w:t>
      </w:r>
      <w:r w:rsidRPr="00723376">
        <w:rPr>
          <w:rFonts w:ascii="Calibri" w:eastAsia="Calibri" w:hAnsi="Calibri" w:cs="Times New Roman"/>
          <w:kern w:val="0"/>
          <w:sz w:val="22"/>
          <w:szCs w:val="22"/>
          <w:lang w:eastAsia="en-US"/>
        </w:rPr>
        <w:t>à l’indemnité de préavis que son ancien employeur reste en défaut de lui payer.</w:t>
      </w:r>
    </w:p>
    <w:p w14:paraId="419709ED" w14:textId="77777777" w:rsidR="00723376" w:rsidRPr="00723376" w:rsidRDefault="00723376" w:rsidP="00723376">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En effet l’article 35 de la loi du 26 juin 2002 précise que : </w:t>
      </w:r>
    </w:p>
    <w:p w14:paraId="5A64A87B" w14:textId="77777777" w:rsidR="00723376" w:rsidRPr="00723376" w:rsidRDefault="00723376" w:rsidP="00723376">
      <w:pPr>
        <w:widowControl/>
        <w:suppressAutoHyphens w:val="0"/>
        <w:autoSpaceDN/>
        <w:spacing w:after="160" w:line="259" w:lineRule="auto"/>
        <w:jc w:val="both"/>
        <w:textAlignment w:val="auto"/>
        <w:rPr>
          <w:rFonts w:ascii="Calibri" w:eastAsia="Calibri" w:hAnsi="Calibri" w:cs="Times New Roman"/>
          <w:i/>
          <w:kern w:val="0"/>
          <w:sz w:val="22"/>
          <w:szCs w:val="22"/>
          <w:lang w:eastAsia="en-US"/>
        </w:rPr>
      </w:pPr>
      <w:r w:rsidRPr="00723376">
        <w:rPr>
          <w:rFonts w:ascii="Calibri" w:eastAsia="Calibri" w:hAnsi="Calibri" w:cs="Times New Roman"/>
          <w:i/>
          <w:kern w:val="0"/>
          <w:sz w:val="22"/>
          <w:szCs w:val="22"/>
          <w:lang w:eastAsia="en-US"/>
        </w:rPr>
        <w:t>« § 1</w:t>
      </w:r>
      <w:r w:rsidRPr="00723376">
        <w:rPr>
          <w:rFonts w:ascii="Calibri" w:eastAsia="Calibri" w:hAnsi="Calibri" w:cs="Times New Roman"/>
          <w:i/>
          <w:kern w:val="0"/>
          <w:sz w:val="22"/>
          <w:szCs w:val="22"/>
          <w:vertAlign w:val="superscript"/>
          <w:lang w:eastAsia="en-US"/>
        </w:rPr>
        <w:t>er</w:t>
      </w:r>
      <w:r w:rsidRPr="00723376">
        <w:rPr>
          <w:rFonts w:ascii="Calibri" w:eastAsia="Calibri" w:hAnsi="Calibri" w:cs="Times New Roman"/>
          <w:i/>
          <w:kern w:val="0"/>
          <w:sz w:val="22"/>
          <w:szCs w:val="22"/>
          <w:lang w:eastAsia="en-US"/>
        </w:rPr>
        <w:t xml:space="preserve"> (…)</w:t>
      </w:r>
    </w:p>
    <w:p w14:paraId="62A0594A" w14:textId="77777777" w:rsidR="00723376" w:rsidRPr="00723376" w:rsidRDefault="00723376" w:rsidP="00723376">
      <w:pPr>
        <w:widowControl/>
        <w:suppressAutoHyphens w:val="0"/>
        <w:autoSpaceDN/>
        <w:spacing w:after="160" w:line="259" w:lineRule="auto"/>
        <w:jc w:val="both"/>
        <w:textAlignment w:val="auto"/>
        <w:rPr>
          <w:rFonts w:ascii="Calibri" w:eastAsia="Calibri" w:hAnsi="Calibri" w:cs="Times New Roman"/>
          <w:i/>
          <w:kern w:val="0"/>
          <w:sz w:val="22"/>
          <w:szCs w:val="22"/>
          <w:lang w:eastAsia="en-US"/>
        </w:rPr>
      </w:pPr>
      <w:r w:rsidRPr="00723376">
        <w:rPr>
          <w:rFonts w:ascii="Calibri" w:eastAsia="Calibri" w:hAnsi="Calibri" w:cs="Times New Roman"/>
          <w:i/>
          <w:kern w:val="0"/>
          <w:sz w:val="22"/>
          <w:szCs w:val="22"/>
          <w:lang w:eastAsia="en-US"/>
        </w:rPr>
        <w:t xml:space="preserve">§ 2. En cas de reprise d'actif soumise aux dispositions de la section 4 du présent chapitre </w:t>
      </w:r>
      <w:r w:rsidRPr="00723376">
        <w:rPr>
          <w:rFonts w:ascii="Calibri" w:eastAsia="Calibri" w:hAnsi="Calibri" w:cs="Times New Roman"/>
          <w:kern w:val="0"/>
          <w:sz w:val="22"/>
          <w:szCs w:val="22"/>
          <w:lang w:eastAsia="en-US"/>
        </w:rPr>
        <w:t>[c’est-à-dire en principe lorsque la reprise d’actif a lieu dans les deux mois de la faillite]</w:t>
      </w:r>
      <w:r w:rsidRPr="00723376">
        <w:rPr>
          <w:rFonts w:ascii="Calibri" w:eastAsia="Calibri" w:hAnsi="Calibri" w:cs="Times New Roman"/>
          <w:i/>
          <w:kern w:val="0"/>
          <w:sz w:val="22"/>
          <w:szCs w:val="22"/>
          <w:lang w:eastAsia="en-US"/>
        </w:rPr>
        <w:t xml:space="preserve">, le Fonds est tenu de payer les obligations pécuniaires prévues au § 1er, 1° et 2°, </w:t>
      </w:r>
      <w:r w:rsidRPr="00723376">
        <w:rPr>
          <w:rFonts w:ascii="Calibri" w:eastAsia="Calibri" w:hAnsi="Calibri" w:cs="Times New Roman"/>
          <w:i/>
          <w:kern w:val="0"/>
          <w:sz w:val="22"/>
          <w:szCs w:val="22"/>
          <w:u w:val="single"/>
          <w:lang w:eastAsia="en-US"/>
        </w:rPr>
        <w:t>aux travailleurs non repris</w:t>
      </w:r>
      <w:r w:rsidRPr="00723376">
        <w:rPr>
          <w:rFonts w:ascii="Calibri" w:eastAsia="Calibri" w:hAnsi="Calibri" w:cs="Times New Roman"/>
          <w:i/>
          <w:kern w:val="0"/>
          <w:sz w:val="22"/>
          <w:szCs w:val="22"/>
          <w:lang w:eastAsia="en-US"/>
        </w:rPr>
        <w:t xml:space="preserve">, lorsque l'ancien employeur ne respecte pas (ces obligations) à l'égard de ses travailleurs. </w:t>
      </w:r>
    </w:p>
    <w:p w14:paraId="3C8E4739" w14:textId="77777777" w:rsidR="00723376" w:rsidRPr="00723376" w:rsidRDefault="00723376" w:rsidP="00723376">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i/>
          <w:kern w:val="0"/>
          <w:sz w:val="22"/>
          <w:szCs w:val="22"/>
          <w:lang w:eastAsia="en-US"/>
        </w:rPr>
        <w:t xml:space="preserve">II est également tenu de payer </w:t>
      </w:r>
      <w:r w:rsidRPr="00723376">
        <w:rPr>
          <w:rFonts w:ascii="Calibri" w:eastAsia="Calibri" w:hAnsi="Calibri" w:cs="Times New Roman"/>
          <w:i/>
          <w:kern w:val="0"/>
          <w:sz w:val="22"/>
          <w:szCs w:val="22"/>
          <w:u w:val="single"/>
          <w:lang w:eastAsia="en-US"/>
        </w:rPr>
        <w:t>au travailleur qui a droit à l'indemnité de transition</w:t>
      </w:r>
      <w:r w:rsidRPr="00723376">
        <w:rPr>
          <w:rFonts w:ascii="Calibri" w:eastAsia="Calibri" w:hAnsi="Calibri" w:cs="Times New Roman"/>
          <w:i/>
          <w:kern w:val="0"/>
          <w:sz w:val="22"/>
          <w:szCs w:val="22"/>
          <w:lang w:eastAsia="en-US"/>
        </w:rPr>
        <w:t xml:space="preserve"> les obligations pécuniaires prévues au § 1er, 1° et 2°, </w:t>
      </w:r>
      <w:r w:rsidRPr="00723376">
        <w:rPr>
          <w:rFonts w:ascii="Calibri" w:eastAsia="Calibri" w:hAnsi="Calibri" w:cs="Times New Roman"/>
          <w:i/>
          <w:kern w:val="0"/>
          <w:sz w:val="22"/>
          <w:szCs w:val="22"/>
          <w:u w:val="single"/>
          <w:lang w:eastAsia="en-US"/>
        </w:rPr>
        <w:t>à l'exception de l'indemnité de rupture</w:t>
      </w:r>
      <w:r w:rsidRPr="00723376">
        <w:rPr>
          <w:rFonts w:ascii="Calibri" w:eastAsia="Calibri" w:hAnsi="Calibri" w:cs="Times New Roman"/>
          <w:i/>
          <w:kern w:val="0"/>
          <w:sz w:val="22"/>
          <w:szCs w:val="22"/>
          <w:lang w:eastAsia="en-US"/>
        </w:rPr>
        <w:t>, lorsque l'ancien employeur ne respecte pas ses obligations à l'égard de ses travailleurs.</w:t>
      </w:r>
      <w:r w:rsidRPr="00723376">
        <w:rPr>
          <w:rFonts w:ascii="Calibri" w:eastAsia="Calibri" w:hAnsi="Calibri" w:cs="Times New Roman"/>
          <w:kern w:val="0"/>
          <w:sz w:val="22"/>
          <w:szCs w:val="22"/>
          <w:lang w:eastAsia="en-US"/>
        </w:rPr>
        <w:t> »</w:t>
      </w:r>
    </w:p>
    <w:p w14:paraId="394F194B" w14:textId="77777777" w:rsidR="00723376" w:rsidRDefault="00723376" w:rsidP="00DE062A">
      <w:pPr>
        <w:widowControl/>
        <w:suppressAutoHyphens w:val="0"/>
        <w:autoSpaceDN/>
        <w:spacing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Cela s’explique par la logique du système instauré par la loi sur les fermetures d’entreprise et par la CCT n° 32 bis : le travailleur qui est repris après la faillite, bénéficie du maintien de son ancienneté auprès du repreneur pour le calcul de son délai de préavis ; il n’a donc pas droit, à charge du F</w:t>
      </w:r>
      <w:r w:rsidR="00FA456C">
        <w:rPr>
          <w:rFonts w:ascii="Calibri" w:eastAsia="Calibri" w:hAnsi="Calibri" w:cs="Times New Roman"/>
          <w:kern w:val="0"/>
          <w:sz w:val="22"/>
          <w:szCs w:val="22"/>
          <w:lang w:eastAsia="en-US"/>
        </w:rPr>
        <w:t>.</w:t>
      </w:r>
      <w:r w:rsidRPr="00723376">
        <w:rPr>
          <w:rFonts w:ascii="Calibri" w:eastAsia="Calibri" w:hAnsi="Calibri" w:cs="Times New Roman"/>
          <w:kern w:val="0"/>
          <w:sz w:val="22"/>
          <w:szCs w:val="22"/>
          <w:lang w:eastAsia="en-US"/>
        </w:rPr>
        <w:t>F</w:t>
      </w:r>
      <w:r w:rsidR="00FA456C">
        <w:rPr>
          <w:rFonts w:ascii="Calibri" w:eastAsia="Calibri" w:hAnsi="Calibri" w:cs="Times New Roman"/>
          <w:kern w:val="0"/>
          <w:sz w:val="22"/>
          <w:szCs w:val="22"/>
          <w:lang w:eastAsia="en-US"/>
        </w:rPr>
        <w:t>.</w:t>
      </w:r>
      <w:r w:rsidRPr="00723376">
        <w:rPr>
          <w:rFonts w:ascii="Calibri" w:eastAsia="Calibri" w:hAnsi="Calibri" w:cs="Times New Roman"/>
          <w:kern w:val="0"/>
          <w:sz w:val="22"/>
          <w:szCs w:val="22"/>
          <w:lang w:eastAsia="en-US"/>
        </w:rPr>
        <w:t>E</w:t>
      </w:r>
      <w:r w:rsidR="00FA456C">
        <w:rPr>
          <w:rFonts w:ascii="Calibri" w:eastAsia="Calibri" w:hAnsi="Calibri" w:cs="Times New Roman"/>
          <w:kern w:val="0"/>
          <w:sz w:val="22"/>
          <w:szCs w:val="22"/>
          <w:lang w:eastAsia="en-US"/>
        </w:rPr>
        <w:t>.</w:t>
      </w:r>
      <w:r w:rsidRPr="00723376">
        <w:rPr>
          <w:rFonts w:ascii="Calibri" w:eastAsia="Calibri" w:hAnsi="Calibri" w:cs="Times New Roman"/>
          <w:kern w:val="0"/>
          <w:sz w:val="22"/>
          <w:szCs w:val="22"/>
          <w:lang w:eastAsia="en-US"/>
        </w:rPr>
        <w:t>, à  l’indemnité de préavis due par son ancien employeur.</w:t>
      </w:r>
    </w:p>
    <w:p w14:paraId="2A8A25F1" w14:textId="77777777" w:rsidR="00DE062A" w:rsidRPr="00723376" w:rsidRDefault="00DE062A" w:rsidP="00DE062A">
      <w:pPr>
        <w:widowControl/>
        <w:suppressAutoHyphens w:val="0"/>
        <w:autoSpaceDN/>
        <w:spacing w:line="259" w:lineRule="auto"/>
        <w:jc w:val="both"/>
        <w:textAlignment w:val="auto"/>
        <w:rPr>
          <w:rFonts w:ascii="Calibri" w:eastAsia="Calibri" w:hAnsi="Calibri" w:cs="Times New Roman"/>
          <w:kern w:val="0"/>
          <w:sz w:val="22"/>
          <w:szCs w:val="22"/>
          <w:lang w:eastAsia="en-US"/>
        </w:rPr>
      </w:pPr>
    </w:p>
    <w:p w14:paraId="10DE6446" w14:textId="77777777" w:rsidR="00723376" w:rsidRPr="00723376" w:rsidRDefault="00723376" w:rsidP="00DE062A">
      <w:pPr>
        <w:widowControl/>
        <w:suppressAutoHyphens w:val="0"/>
        <w:autoSpaceDN/>
        <w:spacing w:line="259" w:lineRule="auto"/>
        <w:ind w:left="45"/>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4.</w:t>
      </w:r>
    </w:p>
    <w:p w14:paraId="3EB97D1D"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Pour que le travailleur ait droit à une indemnité de transition à charge du F</w:t>
      </w:r>
      <w:r w:rsidR="00FA456C">
        <w:rPr>
          <w:rFonts w:ascii="Calibri" w:eastAsia="Calibri" w:hAnsi="Calibri" w:cs="Times New Roman"/>
          <w:kern w:val="0"/>
          <w:sz w:val="22"/>
          <w:szCs w:val="22"/>
          <w:lang w:eastAsia="en-US"/>
        </w:rPr>
        <w:t>.</w:t>
      </w:r>
      <w:r w:rsidRPr="00723376">
        <w:rPr>
          <w:rFonts w:ascii="Calibri" w:eastAsia="Calibri" w:hAnsi="Calibri" w:cs="Times New Roman"/>
          <w:kern w:val="0"/>
          <w:sz w:val="22"/>
          <w:szCs w:val="22"/>
          <w:lang w:eastAsia="en-US"/>
        </w:rPr>
        <w:t>F</w:t>
      </w:r>
      <w:r w:rsidR="00FA456C">
        <w:rPr>
          <w:rFonts w:ascii="Calibri" w:eastAsia="Calibri" w:hAnsi="Calibri" w:cs="Times New Roman"/>
          <w:kern w:val="0"/>
          <w:sz w:val="22"/>
          <w:szCs w:val="22"/>
          <w:lang w:eastAsia="en-US"/>
        </w:rPr>
        <w:t>.</w:t>
      </w:r>
      <w:r w:rsidRPr="00723376">
        <w:rPr>
          <w:rFonts w:ascii="Calibri" w:eastAsia="Calibri" w:hAnsi="Calibri" w:cs="Times New Roman"/>
          <w:kern w:val="0"/>
          <w:sz w:val="22"/>
          <w:szCs w:val="22"/>
          <w:lang w:eastAsia="en-US"/>
        </w:rPr>
        <w:t>E</w:t>
      </w:r>
      <w:r w:rsidR="00FA456C">
        <w:rPr>
          <w:rFonts w:ascii="Calibri" w:eastAsia="Calibri" w:hAnsi="Calibri" w:cs="Times New Roman"/>
          <w:kern w:val="0"/>
          <w:sz w:val="22"/>
          <w:szCs w:val="22"/>
          <w:lang w:eastAsia="en-US"/>
        </w:rPr>
        <w:t>.</w:t>
      </w:r>
      <w:r w:rsidRPr="00723376">
        <w:rPr>
          <w:rFonts w:ascii="Calibri" w:eastAsia="Calibri" w:hAnsi="Calibri" w:cs="Times New Roman"/>
          <w:kern w:val="0"/>
          <w:sz w:val="22"/>
          <w:szCs w:val="22"/>
          <w:lang w:eastAsia="en-US"/>
        </w:rPr>
        <w:t>, 3 conditions sont requises (articles 12, 41 et 42 de la loi du 26 juin 2002). Il faut que :</w:t>
      </w:r>
    </w:p>
    <w:p w14:paraId="6D019767" w14:textId="77777777" w:rsidR="00723376" w:rsidRP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La reprise d’actif ait eu lieu (sauf exceptions) dans un délai de deux mois à partir de la faillite ;</w:t>
      </w:r>
    </w:p>
    <w:p w14:paraId="711A2A66" w14:textId="77777777" w:rsidR="00723376" w:rsidRP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Le travailleur ait été lié par un contrat de travail ou d'apprentissage à la date de la faillite ou qu’il ait été licencié au cours du mois précédant cette date et qu’il ait droit à une indemnité de rupture qui n'a pas été payée en totalité à cette date; </w:t>
      </w:r>
    </w:p>
    <w:p w14:paraId="13D97F1F" w14:textId="77777777" w:rsidR="00723376" w:rsidRP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Le travailleur ait conclu un contrat de travail ou d'apprentissage, après la faillite  avec l'employeur qui a effectué la reprise de l'actif :</w:t>
      </w:r>
    </w:p>
    <w:p w14:paraId="19EE89AD" w14:textId="77777777" w:rsidR="00723376" w:rsidRPr="00723376" w:rsidRDefault="00723376" w:rsidP="00DE062A">
      <w:pPr>
        <w:widowControl/>
        <w:suppressAutoHyphens w:val="0"/>
        <w:autoSpaceDN/>
        <w:spacing w:after="160"/>
        <w:ind w:left="405"/>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  - soit avant que la reprise d'actif n'ait lieu;</w:t>
      </w:r>
    </w:p>
    <w:p w14:paraId="6F247B46" w14:textId="77777777" w:rsidR="00723376" w:rsidRPr="00723376" w:rsidRDefault="00723376" w:rsidP="00DE062A">
      <w:pPr>
        <w:widowControl/>
        <w:suppressAutoHyphens w:val="0"/>
        <w:autoSpaceDN/>
        <w:spacing w:after="160"/>
        <w:ind w:left="405"/>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  - soit au moment de la reprise d'actif;</w:t>
      </w:r>
    </w:p>
    <w:p w14:paraId="659A2CEE" w14:textId="77777777" w:rsidR="00723376" w:rsidRPr="00723376" w:rsidRDefault="00723376" w:rsidP="00DE062A">
      <w:pPr>
        <w:widowControl/>
        <w:suppressAutoHyphens w:val="0"/>
        <w:autoSpaceDN/>
        <w:spacing w:after="160"/>
        <w:ind w:left="405"/>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  - soit dans un délai supplémentaire de quatre mois suivant la reprise de l'actif.</w:t>
      </w:r>
    </w:p>
    <w:p w14:paraId="66BA9414" w14:textId="77777777" w:rsidR="00723376" w:rsidRPr="00723376" w:rsidRDefault="00723376" w:rsidP="00DE062A">
      <w:pPr>
        <w:widowControl/>
        <w:suppressAutoHyphens w:val="0"/>
        <w:autoSpaceDN/>
        <w:spacing w:after="160"/>
        <w:ind w:left="405"/>
        <w:contextualSpacing/>
        <w:jc w:val="both"/>
        <w:textAlignment w:val="auto"/>
        <w:rPr>
          <w:rFonts w:ascii="Calibri" w:eastAsia="Calibri" w:hAnsi="Calibri" w:cs="Times New Roman"/>
          <w:kern w:val="0"/>
          <w:sz w:val="22"/>
          <w:szCs w:val="22"/>
          <w:lang w:eastAsia="en-US"/>
        </w:rPr>
      </w:pPr>
    </w:p>
    <w:p w14:paraId="1ECFB981" w14:textId="77777777" w:rsidR="00723376" w:rsidRPr="00723376" w:rsidRDefault="00723376" w:rsidP="00DE062A">
      <w:pPr>
        <w:widowControl/>
        <w:suppressAutoHyphens w:val="0"/>
        <w:autoSpaceDN/>
        <w:spacing w:after="160" w:line="259" w:lineRule="auto"/>
        <w:ind w:left="360"/>
        <w:jc w:val="both"/>
        <w:textAlignment w:val="auto"/>
        <w:rPr>
          <w:rFonts w:ascii="Calibri" w:eastAsia="Calibri" w:hAnsi="Calibri" w:cs="Times New Roman"/>
          <w:b/>
          <w:kern w:val="0"/>
          <w:sz w:val="22"/>
          <w:szCs w:val="22"/>
          <w:u w:val="single"/>
          <w:lang w:eastAsia="en-US"/>
        </w:rPr>
      </w:pPr>
      <w:r w:rsidRPr="00723376">
        <w:rPr>
          <w:rFonts w:ascii="Calibri" w:eastAsia="Calibri" w:hAnsi="Calibri" w:cs="Times New Roman"/>
          <w:b/>
          <w:kern w:val="0"/>
          <w:sz w:val="22"/>
          <w:szCs w:val="22"/>
          <w:u w:val="single"/>
          <w:lang w:eastAsia="en-US"/>
        </w:rPr>
        <w:t>V.2. APPLICATION DANS LES FAITS</w:t>
      </w:r>
    </w:p>
    <w:p w14:paraId="220C5578" w14:textId="77777777" w:rsidR="00723376" w:rsidRPr="00723376" w:rsidRDefault="00723376" w:rsidP="00DE062A">
      <w:pPr>
        <w:widowControl/>
        <w:suppressAutoHyphens w:val="0"/>
        <w:autoSpaceDN/>
        <w:spacing w:after="160"/>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Au regard des principes r</w:t>
      </w:r>
      <w:r w:rsidR="00FA456C">
        <w:rPr>
          <w:rFonts w:ascii="Calibri" w:eastAsia="Calibri" w:hAnsi="Calibri" w:cs="Times New Roman"/>
          <w:kern w:val="0"/>
          <w:sz w:val="22"/>
          <w:szCs w:val="22"/>
          <w:lang w:eastAsia="en-US"/>
        </w:rPr>
        <w:t>appelés ci-dessus, pour trancher</w:t>
      </w:r>
      <w:r w:rsidRPr="00723376">
        <w:rPr>
          <w:rFonts w:ascii="Calibri" w:eastAsia="Calibri" w:hAnsi="Calibri" w:cs="Times New Roman"/>
          <w:kern w:val="0"/>
          <w:sz w:val="22"/>
          <w:szCs w:val="22"/>
          <w:lang w:eastAsia="en-US"/>
        </w:rPr>
        <w:t xml:space="preserve"> le litige qui lui est soumis, le Tribunal doit successivement répondre aux questions suivantes :</w:t>
      </w:r>
    </w:p>
    <w:p w14:paraId="4E379AA2" w14:textId="77777777" w:rsidR="00723376" w:rsidRP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La société </w:t>
      </w:r>
      <w:proofErr w:type="spellStart"/>
      <w:r w:rsidRPr="00723376">
        <w:rPr>
          <w:rFonts w:ascii="Calibri" w:eastAsia="Calibri" w:hAnsi="Calibri" w:cs="Times New Roman"/>
          <w:kern w:val="0"/>
          <w:sz w:val="22"/>
          <w:szCs w:val="22"/>
          <w:lang w:eastAsia="en-US"/>
        </w:rPr>
        <w:t>faillie</w:t>
      </w:r>
      <w:proofErr w:type="spellEnd"/>
      <w:r w:rsidRPr="00723376">
        <w:rPr>
          <w:rFonts w:ascii="Calibri" w:eastAsia="Calibri" w:hAnsi="Calibri" w:cs="Times New Roman"/>
          <w:kern w:val="0"/>
          <w:sz w:val="22"/>
          <w:szCs w:val="22"/>
          <w:lang w:eastAsia="en-US"/>
        </w:rPr>
        <w:t xml:space="preserve">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a-t-elle fait l’objet d’une reprise d’actif après faillite </w:t>
      </w:r>
      <w:r w:rsidR="00FA456C">
        <w:rPr>
          <w:rFonts w:ascii="Calibri" w:eastAsia="Calibri" w:hAnsi="Calibri" w:cs="Times New Roman"/>
          <w:kern w:val="0"/>
          <w:sz w:val="22"/>
          <w:szCs w:val="22"/>
          <w:lang w:eastAsia="en-US"/>
        </w:rPr>
        <w:t>par</w:t>
      </w:r>
      <w:r w:rsidRPr="00723376">
        <w:rPr>
          <w:rFonts w:ascii="Calibri" w:eastAsia="Calibri" w:hAnsi="Calibri" w:cs="Times New Roman"/>
          <w:kern w:val="0"/>
          <w:sz w:val="22"/>
          <w:szCs w:val="22"/>
          <w:lang w:eastAsia="en-US"/>
        </w:rPr>
        <w:t xml:space="preserve">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w:t>
      </w:r>
    </w:p>
    <w:p w14:paraId="463421FA" w14:textId="77777777" w:rsidR="00723376" w:rsidRPr="00723376" w:rsidRDefault="00723376" w:rsidP="00DE062A">
      <w:pPr>
        <w:widowControl/>
        <w:numPr>
          <w:ilvl w:val="1"/>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Si la réponse est négative,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n’a pas droit à une indemnité de transition ; elle a donc droit à l’indemnité de rupture à charge du</w:t>
      </w:r>
      <w:r w:rsidR="00FA456C">
        <w:rPr>
          <w:rFonts w:ascii="Calibri" w:eastAsia="Calibri" w:hAnsi="Calibri" w:cs="Times New Roman"/>
          <w:kern w:val="0"/>
          <w:sz w:val="22"/>
          <w:szCs w:val="22"/>
          <w:lang w:eastAsia="en-US"/>
        </w:rPr>
        <w:t xml:space="preserve"> F.F.E. </w:t>
      </w:r>
      <w:r w:rsidRPr="00723376">
        <w:rPr>
          <w:rFonts w:ascii="Calibri" w:eastAsia="Calibri" w:hAnsi="Calibri" w:cs="Times New Roman"/>
          <w:kern w:val="0"/>
          <w:sz w:val="22"/>
          <w:szCs w:val="22"/>
          <w:lang w:eastAsia="en-US"/>
        </w:rPr>
        <w:t xml:space="preserve">(loi sur les fermetures d’entreprise) et elle ne peut exiger de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une reconnaissance de son ancienneté (CCT 32 bis) ;</w:t>
      </w:r>
    </w:p>
    <w:p w14:paraId="59084797" w14:textId="77777777" w:rsidR="00723376" w:rsidRPr="00723376" w:rsidRDefault="00723376" w:rsidP="00DE062A">
      <w:pPr>
        <w:widowControl/>
        <w:numPr>
          <w:ilvl w:val="1"/>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Si la réponse est positive, il faut répondre à la seconde question : </w:t>
      </w:r>
    </w:p>
    <w:p w14:paraId="2DAF488B" w14:textId="77777777" w:rsidR="00723376" w:rsidRP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avait-elle droit à une indemnité de transition ou en d’autres termes, était-elle un travailleur repris par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w:t>
      </w:r>
    </w:p>
    <w:p w14:paraId="387ECA6C" w14:textId="77777777" w:rsidR="00723376" w:rsidRPr="00723376" w:rsidRDefault="00723376" w:rsidP="00DE062A">
      <w:pPr>
        <w:widowControl/>
        <w:numPr>
          <w:ilvl w:val="1"/>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lastRenderedPageBreak/>
        <w:t>Si la réponse est négative, elle a droit à l’indemnité de rupture à charge du</w:t>
      </w:r>
      <w:r w:rsidR="00FA456C">
        <w:rPr>
          <w:rFonts w:ascii="Calibri" w:eastAsia="Calibri" w:hAnsi="Calibri" w:cs="Times New Roman"/>
          <w:kern w:val="0"/>
          <w:sz w:val="22"/>
          <w:szCs w:val="22"/>
          <w:lang w:eastAsia="en-US"/>
        </w:rPr>
        <w:t xml:space="preserve"> F.F.E. </w:t>
      </w:r>
      <w:r w:rsidRPr="00723376">
        <w:rPr>
          <w:rFonts w:ascii="Calibri" w:eastAsia="Calibri" w:hAnsi="Calibri" w:cs="Times New Roman"/>
          <w:kern w:val="0"/>
          <w:sz w:val="22"/>
          <w:szCs w:val="22"/>
          <w:lang w:eastAsia="en-US"/>
        </w:rPr>
        <w:t xml:space="preserve">(loi sur les fermetures d’entreprise) et elle ne peut exiger de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une reconnaissance de son ancienneté (CCT 32 bis) ;</w:t>
      </w:r>
    </w:p>
    <w:p w14:paraId="73286779" w14:textId="77777777" w:rsidR="00723376" w:rsidRPr="00723376" w:rsidRDefault="00723376" w:rsidP="00DE062A">
      <w:pPr>
        <w:widowControl/>
        <w:numPr>
          <w:ilvl w:val="1"/>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Si la réponse est positive, elle n’a pas droit à l’indemnité de rupture à charge du</w:t>
      </w:r>
      <w:r w:rsidR="00FA456C">
        <w:rPr>
          <w:rFonts w:ascii="Calibri" w:eastAsia="Calibri" w:hAnsi="Calibri" w:cs="Times New Roman"/>
          <w:kern w:val="0"/>
          <w:sz w:val="22"/>
          <w:szCs w:val="22"/>
          <w:lang w:eastAsia="en-US"/>
        </w:rPr>
        <w:t xml:space="preserve"> F.F.E. </w:t>
      </w:r>
      <w:r w:rsidRPr="00723376">
        <w:rPr>
          <w:rFonts w:ascii="Calibri" w:eastAsia="Calibri" w:hAnsi="Calibri" w:cs="Times New Roman"/>
          <w:kern w:val="0"/>
          <w:sz w:val="22"/>
          <w:szCs w:val="22"/>
          <w:lang w:eastAsia="en-US"/>
        </w:rPr>
        <w:t xml:space="preserve">mais a droit à la reconnaissance de son ancienneté par LA </w:t>
      </w:r>
      <w:r w:rsidR="00BB19D1">
        <w:rPr>
          <w:rFonts w:ascii="Calibri" w:eastAsia="Calibri" w:hAnsi="Calibri" w:cs="Times New Roman"/>
          <w:kern w:val="0"/>
          <w:sz w:val="22"/>
          <w:szCs w:val="22"/>
          <w:lang w:eastAsia="en-US"/>
        </w:rPr>
        <w:t>Y</w:t>
      </w:r>
      <w:r w:rsidRPr="00723376">
        <w:rPr>
          <w:rFonts w:ascii="Calibri" w:eastAsia="Calibri" w:hAnsi="Calibri" w:cs="Times New Roman"/>
          <w:kern w:val="0"/>
          <w:sz w:val="22"/>
          <w:szCs w:val="22"/>
          <w:lang w:eastAsia="en-US"/>
        </w:rPr>
        <w:t>.</w:t>
      </w:r>
    </w:p>
    <w:p w14:paraId="70168FC7" w14:textId="77777777" w:rsidR="00723376" w:rsidRPr="00723376" w:rsidRDefault="00723376" w:rsidP="00723376">
      <w:pPr>
        <w:widowControl/>
        <w:suppressAutoHyphens w:val="0"/>
        <w:autoSpaceDN/>
        <w:spacing w:after="160"/>
        <w:ind w:left="405"/>
        <w:contextualSpacing/>
        <w:textAlignment w:val="auto"/>
        <w:rPr>
          <w:rFonts w:ascii="Calibri" w:eastAsia="Calibri" w:hAnsi="Calibri" w:cs="Times New Roman"/>
          <w:kern w:val="0"/>
          <w:sz w:val="22"/>
          <w:szCs w:val="22"/>
          <w:lang w:eastAsia="en-US"/>
        </w:rPr>
      </w:pPr>
    </w:p>
    <w:p w14:paraId="2C96CB31" w14:textId="77777777" w:rsidR="00723376" w:rsidRDefault="00723376" w:rsidP="00723376">
      <w:pPr>
        <w:widowControl/>
        <w:numPr>
          <w:ilvl w:val="0"/>
          <w:numId w:val="11"/>
        </w:numPr>
        <w:suppressAutoHyphens w:val="0"/>
        <w:autoSpaceDN/>
        <w:spacing w:after="160" w:line="259" w:lineRule="auto"/>
        <w:contextualSpacing/>
        <w:textAlignment w:val="auto"/>
        <w:rPr>
          <w:rFonts w:ascii="Calibri" w:eastAsia="Calibri" w:hAnsi="Calibri" w:cs="Times New Roman"/>
          <w:b/>
          <w:kern w:val="0"/>
          <w:sz w:val="22"/>
          <w:szCs w:val="22"/>
          <w:u w:val="single"/>
          <w:lang w:eastAsia="en-US"/>
        </w:rPr>
      </w:pPr>
      <w:r w:rsidRPr="00723376">
        <w:rPr>
          <w:rFonts w:ascii="Calibri" w:eastAsia="Calibri" w:hAnsi="Calibri" w:cs="Times New Roman"/>
          <w:b/>
          <w:kern w:val="0"/>
          <w:sz w:val="22"/>
          <w:szCs w:val="22"/>
          <w:u w:val="single"/>
          <w:lang w:eastAsia="en-US"/>
        </w:rPr>
        <w:t xml:space="preserve">La société </w:t>
      </w:r>
      <w:proofErr w:type="spellStart"/>
      <w:r w:rsidRPr="00723376">
        <w:rPr>
          <w:rFonts w:ascii="Calibri" w:eastAsia="Calibri" w:hAnsi="Calibri" w:cs="Times New Roman"/>
          <w:b/>
          <w:kern w:val="0"/>
          <w:sz w:val="22"/>
          <w:szCs w:val="22"/>
          <w:u w:val="single"/>
          <w:lang w:eastAsia="en-US"/>
        </w:rPr>
        <w:t>faillie</w:t>
      </w:r>
      <w:proofErr w:type="spellEnd"/>
      <w:r w:rsidRPr="00723376">
        <w:rPr>
          <w:rFonts w:ascii="Calibri" w:eastAsia="Calibri" w:hAnsi="Calibri" w:cs="Times New Roman"/>
          <w:b/>
          <w:kern w:val="0"/>
          <w:sz w:val="22"/>
          <w:szCs w:val="22"/>
          <w:u w:val="single"/>
          <w:lang w:eastAsia="en-US"/>
        </w:rPr>
        <w:t xml:space="preserve"> </w:t>
      </w:r>
      <w:r w:rsidR="00BB19D1">
        <w:rPr>
          <w:rFonts w:ascii="Calibri" w:eastAsia="Calibri" w:hAnsi="Calibri" w:cs="Times New Roman"/>
          <w:b/>
          <w:kern w:val="0"/>
          <w:sz w:val="22"/>
          <w:szCs w:val="22"/>
          <w:u w:val="single"/>
          <w:lang w:eastAsia="en-US"/>
        </w:rPr>
        <w:t>Z</w:t>
      </w:r>
      <w:r w:rsidRPr="00723376">
        <w:rPr>
          <w:rFonts w:ascii="Calibri" w:eastAsia="Calibri" w:hAnsi="Calibri" w:cs="Times New Roman"/>
          <w:b/>
          <w:kern w:val="0"/>
          <w:sz w:val="22"/>
          <w:szCs w:val="22"/>
          <w:u w:val="single"/>
          <w:lang w:eastAsia="en-US"/>
        </w:rPr>
        <w:t xml:space="preserve"> a-t-elle fait l’objet d’une reprise d’actif après faillite ?</w:t>
      </w:r>
    </w:p>
    <w:p w14:paraId="2FFDE10E" w14:textId="77777777" w:rsidR="00DE062A" w:rsidRPr="00723376" w:rsidRDefault="00DE062A" w:rsidP="00DE062A">
      <w:pPr>
        <w:widowControl/>
        <w:suppressAutoHyphens w:val="0"/>
        <w:autoSpaceDN/>
        <w:spacing w:after="160" w:line="259" w:lineRule="auto"/>
        <w:contextualSpacing/>
        <w:textAlignment w:val="auto"/>
        <w:rPr>
          <w:rFonts w:ascii="Calibri" w:eastAsia="Calibri" w:hAnsi="Calibri" w:cs="Times New Roman"/>
          <w:b/>
          <w:kern w:val="0"/>
          <w:sz w:val="22"/>
          <w:szCs w:val="22"/>
          <w:u w:val="single"/>
          <w:lang w:eastAsia="en-US"/>
        </w:rPr>
      </w:pPr>
    </w:p>
    <w:p w14:paraId="39AFB027" w14:textId="77777777" w:rsidR="00723376" w:rsidRPr="00723376" w:rsidRDefault="00723376" w:rsidP="00DE062A">
      <w:pPr>
        <w:widowControl/>
        <w:suppressAutoHyphens w:val="0"/>
        <w:autoSpaceDN/>
        <w:spacing w:after="160"/>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Le Tribunal considère que oui.</w:t>
      </w:r>
    </w:p>
    <w:p w14:paraId="24058862" w14:textId="77777777" w:rsidR="00723376" w:rsidRPr="00723376" w:rsidRDefault="00723376" w:rsidP="00DE062A">
      <w:pPr>
        <w:widowControl/>
        <w:suppressAutoHyphens w:val="0"/>
        <w:autoSpaceDN/>
        <w:spacing w:after="160"/>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En effet, ainsi qu’il résulte de la définition édictée par la CCT n°32 bis et par la loi du 26 juin 2002, la reprise d’actif après faillite requiert seulement qu’il y ait poursuite de l’activité principale de l’entreprise ou d’une division de celle-ci.</w:t>
      </w:r>
    </w:p>
    <w:p w14:paraId="034DE4A2" w14:textId="77777777" w:rsidR="00723376" w:rsidRPr="00723376" w:rsidRDefault="00723376" w:rsidP="00DE062A">
      <w:pPr>
        <w:widowControl/>
        <w:suppressAutoHyphens w:val="0"/>
        <w:autoSpaceDN/>
        <w:spacing w:after="160"/>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Il importe peu qu’une convention ait ou non été conclue entre la société </w:t>
      </w:r>
      <w:proofErr w:type="spellStart"/>
      <w:r w:rsidRPr="00723376">
        <w:rPr>
          <w:rFonts w:ascii="Calibri" w:eastAsia="Calibri" w:hAnsi="Calibri" w:cs="Times New Roman"/>
          <w:kern w:val="0"/>
          <w:sz w:val="22"/>
          <w:szCs w:val="22"/>
          <w:lang w:eastAsia="en-US"/>
        </w:rPr>
        <w:t>faillie</w:t>
      </w:r>
      <w:proofErr w:type="spellEnd"/>
      <w:r w:rsidRPr="00723376">
        <w:rPr>
          <w:rFonts w:ascii="Calibri" w:eastAsia="Calibri" w:hAnsi="Calibri" w:cs="Times New Roman"/>
          <w:kern w:val="0"/>
          <w:sz w:val="22"/>
          <w:szCs w:val="22"/>
          <w:lang w:eastAsia="en-US"/>
        </w:rPr>
        <w:t xml:space="preserve"> et le repreneur ou qu’un quelconque accord ait été pris entre eux.</w:t>
      </w:r>
    </w:p>
    <w:p w14:paraId="5E48C3D6" w14:textId="77777777" w:rsidR="00723376" w:rsidRPr="00723376" w:rsidRDefault="00723376" w:rsidP="00DE062A">
      <w:pPr>
        <w:widowControl/>
        <w:suppressAutoHyphens w:val="0"/>
        <w:autoSpaceDN/>
        <w:spacing w:after="160"/>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La poursuite de l’activité principale est une notion purement factuelle que le Tribunal doit apprécier en fonction des indices dont il dispose. Or le Tribunal estime qu’en l’espèce, il y a des présomptions graves précises et concordantes de la poursuite de l’activité principale de la société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par la </w:t>
      </w:r>
      <w:r w:rsidR="00BB19D1">
        <w:rPr>
          <w:rFonts w:ascii="Calibri" w:eastAsia="Calibri" w:hAnsi="Calibri" w:cs="Times New Roman"/>
          <w:kern w:val="0"/>
          <w:sz w:val="22"/>
          <w:szCs w:val="22"/>
          <w:lang w:eastAsia="en-US"/>
        </w:rPr>
        <w:t>SRL Y.</w:t>
      </w:r>
    </w:p>
    <w:p w14:paraId="288DD04C" w14:textId="77777777" w:rsidR="00723376" w:rsidRPr="00723376" w:rsidRDefault="00723376" w:rsidP="00DE062A">
      <w:pPr>
        <w:widowControl/>
        <w:suppressAutoHyphens w:val="0"/>
        <w:autoSpaceDN/>
        <w:spacing w:after="160"/>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Ces présomptions sont les suivantes :</w:t>
      </w:r>
    </w:p>
    <w:p w14:paraId="637CBF23" w14:textId="77777777" w:rsidR="00723376" w:rsidRPr="00723376" w:rsidRDefault="00BB19D1"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 xml:space="preserve">Y </w:t>
      </w:r>
      <w:r w:rsidR="00723376" w:rsidRPr="00723376">
        <w:rPr>
          <w:rFonts w:ascii="Calibri" w:eastAsia="Calibri" w:hAnsi="Calibri" w:cs="Times New Roman"/>
          <w:kern w:val="0"/>
          <w:sz w:val="22"/>
          <w:szCs w:val="22"/>
          <w:lang w:eastAsia="en-US"/>
        </w:rPr>
        <w:t xml:space="preserve">et </w:t>
      </w:r>
      <w:r>
        <w:rPr>
          <w:rFonts w:ascii="Calibri" w:eastAsia="Calibri" w:hAnsi="Calibri" w:cs="Times New Roman"/>
          <w:kern w:val="0"/>
          <w:sz w:val="22"/>
          <w:szCs w:val="22"/>
          <w:lang w:eastAsia="en-US"/>
        </w:rPr>
        <w:t>Z</w:t>
      </w:r>
      <w:r w:rsidR="00723376" w:rsidRPr="00723376">
        <w:rPr>
          <w:rFonts w:ascii="Calibri" w:eastAsia="Calibri" w:hAnsi="Calibri" w:cs="Times New Roman"/>
          <w:kern w:val="0"/>
          <w:sz w:val="22"/>
          <w:szCs w:val="22"/>
          <w:lang w:eastAsia="en-US"/>
        </w:rPr>
        <w:t xml:space="preserve"> ont la même activité : l’exploitation d’un salon de coiffure ;</w:t>
      </w:r>
    </w:p>
    <w:p w14:paraId="43BD7F27" w14:textId="77777777" w:rsidR="00723376" w:rsidRPr="00723376" w:rsidRDefault="00BB19D1"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 xml:space="preserve">Y </w:t>
      </w:r>
      <w:r w:rsidR="00723376" w:rsidRPr="00723376">
        <w:rPr>
          <w:rFonts w:ascii="Calibri" w:eastAsia="Calibri" w:hAnsi="Calibri" w:cs="Times New Roman"/>
          <w:kern w:val="0"/>
          <w:sz w:val="22"/>
          <w:szCs w:val="22"/>
          <w:lang w:eastAsia="en-US"/>
        </w:rPr>
        <w:t xml:space="preserve">a repris trois travailleurs (trois coiffeuses) de la </w:t>
      </w:r>
      <w:r>
        <w:rPr>
          <w:rFonts w:ascii="Calibri" w:eastAsia="Calibri" w:hAnsi="Calibri" w:cs="Times New Roman"/>
          <w:kern w:val="0"/>
          <w:sz w:val="22"/>
          <w:szCs w:val="22"/>
          <w:lang w:eastAsia="en-US"/>
        </w:rPr>
        <w:t>Z</w:t>
      </w:r>
      <w:r w:rsidR="00723376" w:rsidRPr="00723376">
        <w:rPr>
          <w:rFonts w:ascii="Calibri" w:eastAsia="Calibri" w:hAnsi="Calibri" w:cs="Times New Roman"/>
          <w:kern w:val="0"/>
          <w:sz w:val="22"/>
          <w:szCs w:val="22"/>
          <w:lang w:eastAsia="en-US"/>
        </w:rPr>
        <w:t xml:space="preserve"> dès les 2 et 3 mai 2019 sur les 5 travailleurs présents chez </w:t>
      </w:r>
      <w:r>
        <w:rPr>
          <w:rFonts w:ascii="Calibri" w:eastAsia="Calibri" w:hAnsi="Calibri" w:cs="Times New Roman"/>
          <w:kern w:val="0"/>
          <w:sz w:val="22"/>
          <w:szCs w:val="22"/>
          <w:lang w:eastAsia="en-US"/>
        </w:rPr>
        <w:t>Z</w:t>
      </w:r>
      <w:r w:rsidR="00723376" w:rsidRPr="00723376">
        <w:rPr>
          <w:rFonts w:ascii="Calibri" w:eastAsia="Calibri" w:hAnsi="Calibri" w:cs="Times New Roman"/>
          <w:kern w:val="0"/>
          <w:sz w:val="22"/>
          <w:szCs w:val="22"/>
          <w:lang w:eastAsia="en-US"/>
        </w:rPr>
        <w:t xml:space="preserve"> à la date de la faillite (intervenue le 29 avril 2019); outre la reprise de ces trois coiffeuses, </w:t>
      </w:r>
      <w:r>
        <w:rPr>
          <w:rFonts w:ascii="Calibri" w:eastAsia="Calibri" w:hAnsi="Calibri" w:cs="Times New Roman"/>
          <w:kern w:val="0"/>
          <w:sz w:val="22"/>
          <w:szCs w:val="22"/>
          <w:lang w:eastAsia="en-US"/>
        </w:rPr>
        <w:t xml:space="preserve">Y </w:t>
      </w:r>
      <w:r w:rsidR="00723376" w:rsidRPr="00723376">
        <w:rPr>
          <w:rFonts w:ascii="Calibri" w:eastAsia="Calibri" w:hAnsi="Calibri" w:cs="Times New Roman"/>
          <w:kern w:val="0"/>
          <w:sz w:val="22"/>
          <w:szCs w:val="22"/>
          <w:lang w:eastAsia="en-US"/>
        </w:rPr>
        <w:t xml:space="preserve">a également bénéficié des services de sa gérante, également ancienne employée et coiffeuse de </w:t>
      </w:r>
      <w:r>
        <w:rPr>
          <w:rFonts w:ascii="Calibri" w:eastAsia="Calibri" w:hAnsi="Calibri" w:cs="Times New Roman"/>
          <w:kern w:val="0"/>
          <w:sz w:val="22"/>
          <w:szCs w:val="22"/>
          <w:lang w:eastAsia="en-US"/>
        </w:rPr>
        <w:t>Z</w:t>
      </w:r>
      <w:r w:rsidR="00723376" w:rsidRPr="00723376">
        <w:rPr>
          <w:rFonts w:ascii="Calibri" w:eastAsia="Calibri" w:hAnsi="Calibri" w:cs="Times New Roman"/>
          <w:kern w:val="0"/>
          <w:sz w:val="22"/>
          <w:szCs w:val="22"/>
          <w:lang w:eastAsia="en-US"/>
        </w:rPr>
        <w:t xml:space="preserve"> ; ce sont donc 4 coiffeuses de </w:t>
      </w:r>
      <w:r>
        <w:rPr>
          <w:rFonts w:ascii="Calibri" w:eastAsia="Calibri" w:hAnsi="Calibri" w:cs="Times New Roman"/>
          <w:kern w:val="0"/>
          <w:sz w:val="22"/>
          <w:szCs w:val="22"/>
          <w:lang w:eastAsia="en-US"/>
        </w:rPr>
        <w:t>Z</w:t>
      </w:r>
      <w:r w:rsidR="00723376" w:rsidRPr="00723376">
        <w:rPr>
          <w:rFonts w:ascii="Calibri" w:eastAsia="Calibri" w:hAnsi="Calibri" w:cs="Times New Roman"/>
          <w:kern w:val="0"/>
          <w:sz w:val="22"/>
          <w:szCs w:val="22"/>
          <w:lang w:eastAsia="en-US"/>
        </w:rPr>
        <w:t xml:space="preserve"> qui ont entamé des prestations pour </w:t>
      </w:r>
      <w:r>
        <w:rPr>
          <w:rFonts w:ascii="Calibri" w:eastAsia="Calibri" w:hAnsi="Calibri" w:cs="Times New Roman"/>
          <w:kern w:val="0"/>
          <w:sz w:val="22"/>
          <w:szCs w:val="22"/>
          <w:lang w:eastAsia="en-US"/>
        </w:rPr>
        <w:t xml:space="preserve">Y </w:t>
      </w:r>
      <w:r w:rsidR="00723376" w:rsidRPr="00723376">
        <w:rPr>
          <w:rFonts w:ascii="Calibri" w:eastAsia="Calibri" w:hAnsi="Calibri" w:cs="Times New Roman"/>
          <w:kern w:val="0"/>
          <w:sz w:val="22"/>
          <w:szCs w:val="22"/>
          <w:lang w:eastAsia="en-US"/>
        </w:rPr>
        <w:t xml:space="preserve">après la faillite de </w:t>
      </w:r>
      <w:r>
        <w:rPr>
          <w:rFonts w:ascii="Calibri" w:eastAsia="Calibri" w:hAnsi="Calibri" w:cs="Times New Roman"/>
          <w:kern w:val="0"/>
          <w:sz w:val="22"/>
          <w:szCs w:val="22"/>
          <w:lang w:eastAsia="en-US"/>
        </w:rPr>
        <w:t>Z</w:t>
      </w:r>
      <w:r w:rsidR="00723376" w:rsidRPr="00723376">
        <w:rPr>
          <w:rFonts w:ascii="Calibri" w:eastAsia="Calibri" w:hAnsi="Calibri" w:cs="Times New Roman"/>
          <w:kern w:val="0"/>
          <w:sz w:val="22"/>
          <w:szCs w:val="22"/>
          <w:lang w:eastAsia="en-US"/>
        </w:rPr>
        <w:t xml:space="preserve"> ; </w:t>
      </w:r>
    </w:p>
    <w:p w14:paraId="57C3C20D" w14:textId="77777777" w:rsidR="00723376" w:rsidRP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Ces travailleuses ont apporté leur savoir-faire et les techniques professionnelles acquises auprès de la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ce qui constitue un actif immatériel ; Madame </w:t>
      </w:r>
      <w:r w:rsidR="00BB19D1">
        <w:rPr>
          <w:rFonts w:ascii="Calibri" w:eastAsia="Calibri" w:hAnsi="Calibri" w:cs="Times New Roman"/>
          <w:kern w:val="0"/>
          <w:sz w:val="22"/>
          <w:szCs w:val="22"/>
          <w:lang w:eastAsia="en-US"/>
        </w:rPr>
        <w:t>S</w:t>
      </w:r>
      <w:r w:rsidRPr="00723376">
        <w:rPr>
          <w:rFonts w:ascii="Calibri" w:eastAsia="Calibri" w:hAnsi="Calibri" w:cs="Times New Roman"/>
          <w:kern w:val="0"/>
          <w:sz w:val="22"/>
          <w:szCs w:val="22"/>
          <w:lang w:eastAsia="en-US"/>
        </w:rPr>
        <w:t xml:space="preserve">, gérante de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 xml:space="preserve">le reconnaît finalement implicitement elle-même (pièce 13 de la </w:t>
      </w:r>
      <w:r w:rsidR="00BB19D1">
        <w:rPr>
          <w:rFonts w:ascii="Calibri" w:eastAsia="Calibri" w:hAnsi="Calibri" w:cs="Times New Roman"/>
          <w:kern w:val="0"/>
          <w:sz w:val="22"/>
          <w:szCs w:val="22"/>
          <w:lang w:eastAsia="en-US"/>
        </w:rPr>
        <w:t>Y</w:t>
      </w:r>
      <w:r w:rsidRPr="00723376">
        <w:rPr>
          <w:rFonts w:ascii="Calibri" w:eastAsia="Calibri" w:hAnsi="Calibri" w:cs="Times New Roman"/>
          <w:kern w:val="0"/>
          <w:sz w:val="22"/>
          <w:szCs w:val="22"/>
          <w:lang w:eastAsia="en-US"/>
        </w:rPr>
        <w:t>) lorsqu’elle indique « </w:t>
      </w:r>
      <w:r w:rsidRPr="00723376">
        <w:rPr>
          <w:rFonts w:ascii="Calibri" w:eastAsia="Calibri" w:hAnsi="Calibri" w:cs="Times New Roman"/>
          <w:i/>
          <w:kern w:val="0"/>
          <w:sz w:val="22"/>
          <w:szCs w:val="22"/>
          <w:lang w:eastAsia="en-US"/>
        </w:rPr>
        <w:t xml:space="preserve">Je n’ai repris aucun fichier client, ma réputation et celle de mon personnel est le seul moteur qui motive notre clientèle à venir chez nous. Si j’ai engagé les membres de mon personnel ce n’est que parce que je </w:t>
      </w:r>
      <w:proofErr w:type="spellStart"/>
      <w:r w:rsidRPr="00723376">
        <w:rPr>
          <w:rFonts w:ascii="Calibri" w:eastAsia="Calibri" w:hAnsi="Calibri" w:cs="Times New Roman"/>
          <w:i/>
          <w:kern w:val="0"/>
          <w:sz w:val="22"/>
          <w:szCs w:val="22"/>
          <w:lang w:eastAsia="en-US"/>
        </w:rPr>
        <w:t>connaissait</w:t>
      </w:r>
      <w:proofErr w:type="spellEnd"/>
      <w:r w:rsidRPr="00723376">
        <w:rPr>
          <w:rFonts w:ascii="Calibri" w:eastAsia="Calibri" w:hAnsi="Calibri" w:cs="Times New Roman"/>
          <w:i/>
          <w:kern w:val="0"/>
          <w:sz w:val="22"/>
          <w:szCs w:val="22"/>
          <w:lang w:eastAsia="en-US"/>
        </w:rPr>
        <w:t xml:space="preserve"> leurs compétences respectives.</w:t>
      </w:r>
      <w:r w:rsidRPr="00723376">
        <w:rPr>
          <w:rFonts w:ascii="Calibri" w:eastAsia="Calibri" w:hAnsi="Calibri" w:cs="Times New Roman"/>
          <w:kern w:val="0"/>
          <w:sz w:val="22"/>
          <w:szCs w:val="22"/>
          <w:lang w:eastAsia="en-US"/>
        </w:rPr>
        <w:t> » (sic)</w:t>
      </w:r>
    </w:p>
    <w:p w14:paraId="0BF8401F" w14:textId="77777777" w:rsidR="00723376" w:rsidRPr="00723376" w:rsidRDefault="00BB19D1"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 xml:space="preserve">Y </w:t>
      </w:r>
      <w:r w:rsidR="00723376" w:rsidRPr="00723376">
        <w:rPr>
          <w:rFonts w:ascii="Calibri" w:eastAsia="Calibri" w:hAnsi="Calibri" w:cs="Times New Roman"/>
          <w:kern w:val="0"/>
          <w:sz w:val="22"/>
          <w:szCs w:val="22"/>
          <w:lang w:eastAsia="en-US"/>
        </w:rPr>
        <w:t xml:space="preserve">a été constituée un mois avant la faillite de </w:t>
      </w:r>
      <w:r>
        <w:rPr>
          <w:rFonts w:ascii="Calibri" w:eastAsia="Calibri" w:hAnsi="Calibri" w:cs="Times New Roman"/>
          <w:kern w:val="0"/>
          <w:sz w:val="22"/>
          <w:szCs w:val="22"/>
          <w:lang w:eastAsia="en-US"/>
        </w:rPr>
        <w:t>Z</w:t>
      </w:r>
      <w:r w:rsidR="00723376" w:rsidRPr="00723376">
        <w:rPr>
          <w:rFonts w:ascii="Calibri" w:eastAsia="Calibri" w:hAnsi="Calibri" w:cs="Times New Roman"/>
          <w:kern w:val="0"/>
          <w:sz w:val="22"/>
          <w:szCs w:val="22"/>
          <w:lang w:eastAsia="en-US"/>
        </w:rPr>
        <w:t xml:space="preserve">, ce qui témoigne d’une préparation de l’activité en raison de la perspective de la fermeture du salon exploité par </w:t>
      </w:r>
      <w:r>
        <w:rPr>
          <w:rFonts w:ascii="Calibri" w:eastAsia="Calibri" w:hAnsi="Calibri" w:cs="Times New Roman"/>
          <w:kern w:val="0"/>
          <w:sz w:val="22"/>
          <w:szCs w:val="22"/>
          <w:lang w:eastAsia="en-US"/>
        </w:rPr>
        <w:t>Z</w:t>
      </w:r>
      <w:r w:rsidR="00723376" w:rsidRPr="00723376">
        <w:rPr>
          <w:rFonts w:ascii="Calibri" w:eastAsia="Calibri" w:hAnsi="Calibri" w:cs="Times New Roman"/>
          <w:kern w:val="0"/>
          <w:sz w:val="22"/>
          <w:szCs w:val="22"/>
          <w:lang w:eastAsia="en-US"/>
        </w:rPr>
        <w:t xml:space="preserve"> ;</w:t>
      </w:r>
    </w:p>
    <w:p w14:paraId="4DC09F1B" w14:textId="77777777" w:rsidR="00723376" w:rsidRP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Elle s’est installée dans le voisinage immédiat du salon de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w:t>
      </w:r>
    </w:p>
    <w:p w14:paraId="71A4B156" w14:textId="77777777" w:rsidR="00723376" w:rsidRP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La société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exploitait son salon sous l’enseigne commerciale « </w:t>
      </w:r>
      <w:r w:rsidR="00BB19D1">
        <w:rPr>
          <w:rFonts w:ascii="Calibri" w:eastAsia="Calibri" w:hAnsi="Calibri" w:cs="Times New Roman"/>
          <w:kern w:val="0"/>
          <w:sz w:val="22"/>
          <w:szCs w:val="22"/>
          <w:lang w:eastAsia="en-US"/>
        </w:rPr>
        <w:t>C VIP</w:t>
      </w:r>
      <w:r w:rsidRPr="00723376">
        <w:rPr>
          <w:rFonts w:ascii="Calibri" w:eastAsia="Calibri" w:hAnsi="Calibri" w:cs="Times New Roman"/>
          <w:kern w:val="0"/>
          <w:sz w:val="22"/>
          <w:szCs w:val="22"/>
          <w:lang w:eastAsia="en-US"/>
        </w:rPr>
        <w:t xml:space="preserve"> » ;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 xml:space="preserve">a repris l’emploi du terme « VIP » ; Que de nombreux salons utilisent cet acronyme n’y change rien ; il s’agit d’un indice parmi d’autres d’une volonté de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 xml:space="preserve">d’assurer une continuité avec le salon </w:t>
      </w:r>
      <w:r w:rsidR="00BB19D1">
        <w:rPr>
          <w:rFonts w:ascii="Calibri" w:eastAsia="Calibri" w:hAnsi="Calibri" w:cs="Times New Roman"/>
          <w:kern w:val="0"/>
          <w:sz w:val="22"/>
          <w:szCs w:val="22"/>
          <w:lang w:eastAsia="en-US"/>
        </w:rPr>
        <w:t>C VIP</w:t>
      </w:r>
      <w:r w:rsidRPr="00723376">
        <w:rPr>
          <w:rFonts w:ascii="Calibri" w:eastAsia="Calibri" w:hAnsi="Calibri" w:cs="Times New Roman"/>
          <w:kern w:val="0"/>
          <w:sz w:val="22"/>
          <w:szCs w:val="22"/>
          <w:lang w:eastAsia="en-US"/>
        </w:rPr>
        <w:t> ; il importe finalement peu que les termes « LA SUITE » aient eu pour objectif de viser expressément la continuation du précédent salon ou de viser la chambre luxueuse d’un hôtel comme le souti</w:t>
      </w:r>
      <w:r w:rsidR="00C11CD7">
        <w:rPr>
          <w:rFonts w:ascii="Calibri" w:eastAsia="Calibri" w:hAnsi="Calibri" w:cs="Times New Roman"/>
          <w:kern w:val="0"/>
          <w:sz w:val="22"/>
          <w:szCs w:val="22"/>
          <w:lang w:eastAsia="en-US"/>
        </w:rPr>
        <w:t xml:space="preserve">ent </w:t>
      </w:r>
      <w:r w:rsidR="00BB19D1">
        <w:rPr>
          <w:rFonts w:ascii="Calibri" w:eastAsia="Calibri" w:hAnsi="Calibri" w:cs="Times New Roman"/>
          <w:kern w:val="0"/>
          <w:sz w:val="22"/>
          <w:szCs w:val="22"/>
          <w:lang w:eastAsia="en-US"/>
        </w:rPr>
        <w:t xml:space="preserve">Y </w:t>
      </w:r>
      <w:r w:rsidR="00C11CD7">
        <w:rPr>
          <w:rFonts w:ascii="Calibri" w:eastAsia="Calibri" w:hAnsi="Calibri" w:cs="Times New Roman"/>
          <w:kern w:val="0"/>
          <w:sz w:val="22"/>
          <w:szCs w:val="22"/>
          <w:lang w:eastAsia="en-US"/>
        </w:rPr>
        <w:t>; la reprise du</w:t>
      </w:r>
      <w:r w:rsidRPr="00723376">
        <w:rPr>
          <w:rFonts w:ascii="Calibri" w:eastAsia="Calibri" w:hAnsi="Calibri" w:cs="Times New Roman"/>
          <w:kern w:val="0"/>
          <w:sz w:val="22"/>
          <w:szCs w:val="22"/>
          <w:lang w:eastAsia="en-US"/>
        </w:rPr>
        <w:t xml:space="preserve"> terme VIP est suffisamment éloquente ; les termes « LA SUITE » ont en outre pu être utilisés dans un double sens, voire à titre de jeu de mots évoquant non seulement la continuation de l’autre salon mais également le caractère luxueux d’une chambre d’hôtel.</w:t>
      </w:r>
    </w:p>
    <w:p w14:paraId="56342AF9" w14:textId="77777777" w:rsidR="00723376" w:rsidRP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Il résulte des pièces du dossier que Madame </w:t>
      </w:r>
      <w:r w:rsidR="00BB19D1">
        <w:rPr>
          <w:rFonts w:ascii="Calibri" w:eastAsia="Calibri" w:hAnsi="Calibri" w:cs="Times New Roman"/>
          <w:kern w:val="0"/>
          <w:sz w:val="22"/>
          <w:szCs w:val="22"/>
          <w:lang w:eastAsia="en-US"/>
        </w:rPr>
        <w:t>S</w:t>
      </w:r>
      <w:r w:rsidRPr="00723376">
        <w:rPr>
          <w:rFonts w:ascii="Calibri" w:eastAsia="Calibri" w:hAnsi="Calibri" w:cs="Times New Roman"/>
          <w:kern w:val="0"/>
          <w:sz w:val="22"/>
          <w:szCs w:val="22"/>
          <w:lang w:eastAsia="en-US"/>
        </w:rPr>
        <w:t xml:space="preserve"> était informée depuis le 2 mars 2019 de la volonté de la gérante de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de déclarer la faillite ; ayant constitué sa société dès le 20 mars 2019, elle a eu, de même que les autres coiffeuses, le loisir de prévenir la clientèle de son projet ; aucun démarchage n’a donc été nécessaire ; l’absence de « reprise d’un fichier </w:t>
      </w:r>
      <w:r w:rsidRPr="00723376">
        <w:rPr>
          <w:rFonts w:ascii="Calibri" w:eastAsia="Calibri" w:hAnsi="Calibri" w:cs="Times New Roman"/>
          <w:kern w:val="0"/>
          <w:sz w:val="22"/>
          <w:szCs w:val="22"/>
          <w:lang w:eastAsia="en-US"/>
        </w:rPr>
        <w:lastRenderedPageBreak/>
        <w:t xml:space="preserve">clientèle », l’absence de publicité, l’absence d’annonce par la gérante de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d’une « reprise » de son salon, n’étaient donc pas nécessaires pour assurer la continuité et la fidélité des clientes, qui ont simplement suivi leur coiffeuse habituelle ; force est d’ailleurs de constater que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 xml:space="preserve">ne tente pas de démontrer que sa clientèle serait distincte de celle de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w:t>
      </w:r>
    </w:p>
    <w:p w14:paraId="2A6180AE" w14:textId="77777777" w:rsidR="00C11CD7" w:rsidRDefault="00C11CD7" w:rsidP="00DE062A">
      <w:pPr>
        <w:widowControl/>
        <w:suppressAutoHyphens w:val="0"/>
        <w:autoSpaceDN/>
        <w:spacing w:after="160" w:line="259" w:lineRule="auto"/>
        <w:ind w:left="45"/>
        <w:jc w:val="both"/>
        <w:textAlignment w:val="auto"/>
        <w:rPr>
          <w:rFonts w:ascii="Calibri" w:eastAsia="Calibri" w:hAnsi="Calibri" w:cs="Times New Roman"/>
          <w:kern w:val="0"/>
          <w:sz w:val="22"/>
          <w:szCs w:val="22"/>
          <w:lang w:eastAsia="en-US"/>
        </w:rPr>
      </w:pPr>
    </w:p>
    <w:p w14:paraId="79924E1A" w14:textId="77777777" w:rsidR="00723376" w:rsidRPr="00723376" w:rsidRDefault="00723376" w:rsidP="00DE062A">
      <w:pPr>
        <w:widowControl/>
        <w:suppressAutoHyphens w:val="0"/>
        <w:autoSpaceDN/>
        <w:spacing w:after="160" w:line="259" w:lineRule="auto"/>
        <w:ind w:left="45"/>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Le Tribunal note du reste que le curateur de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dans un courrier échangé avec le syndicat de Madame </w:t>
      </w:r>
      <w:r w:rsidR="00BB19D1">
        <w:rPr>
          <w:rFonts w:ascii="Calibri" w:eastAsia="Calibri" w:hAnsi="Calibri" w:cs="Times New Roman"/>
          <w:kern w:val="0"/>
          <w:sz w:val="22"/>
          <w:szCs w:val="22"/>
          <w:lang w:eastAsia="en-US"/>
        </w:rPr>
        <w:t>S</w:t>
      </w:r>
      <w:r w:rsidRPr="00723376">
        <w:rPr>
          <w:rFonts w:ascii="Calibri" w:eastAsia="Calibri" w:hAnsi="Calibri" w:cs="Times New Roman"/>
          <w:kern w:val="0"/>
          <w:sz w:val="22"/>
          <w:szCs w:val="22"/>
          <w:lang w:eastAsia="en-US"/>
        </w:rPr>
        <w:t xml:space="preserve"> le 10 septembre 2019, évoquait la possibilité de la poursuivre pour détournement de clientèle.</w:t>
      </w:r>
    </w:p>
    <w:p w14:paraId="7CCB32CD" w14:textId="77777777" w:rsidR="00723376" w:rsidRPr="00723376" w:rsidRDefault="00723376" w:rsidP="00DE062A">
      <w:pPr>
        <w:widowControl/>
        <w:suppressAutoHyphens w:val="0"/>
        <w:autoSpaceDN/>
        <w:spacing w:after="160" w:line="259" w:lineRule="auto"/>
        <w:ind w:left="45"/>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Le curateur n’a finalement pas pris cette voie (pour une raison que le Tribunal ignore, le curateur n’étant pas à la cause). Il a tenté de « remettre » le commerce de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Le Tribunal ne dispose d’aucune information concernant le succès de cette tentative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 xml:space="preserve">ne soutient pas qu’il aurait été repris et que la clientèle de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y serait désormais servie) mais il est évident que la valeur de ce fonds de commerce était toute relative, compte tenu de l’ouverture immédiate de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 xml:space="preserve">dans le proche voisinage. </w:t>
      </w:r>
    </w:p>
    <w:p w14:paraId="1A68F051" w14:textId="77777777" w:rsidR="00723376" w:rsidRPr="00723376" w:rsidRDefault="00723376" w:rsidP="00DE062A">
      <w:pPr>
        <w:widowControl/>
        <w:suppressAutoHyphens w:val="0"/>
        <w:autoSpaceDN/>
        <w:spacing w:after="160" w:line="259" w:lineRule="auto"/>
        <w:ind w:left="45"/>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Dans ces conditions, le Tribunal estime, comme l’Auditorat du travail, qu’il y a bien eu reprise d’actif après faillite.</w:t>
      </w:r>
    </w:p>
    <w:p w14:paraId="46D8010F" w14:textId="77777777" w:rsidR="00723376" w:rsidRDefault="00723376" w:rsidP="00723376">
      <w:pPr>
        <w:widowControl/>
        <w:numPr>
          <w:ilvl w:val="0"/>
          <w:numId w:val="11"/>
        </w:numPr>
        <w:suppressAutoHyphens w:val="0"/>
        <w:autoSpaceDN/>
        <w:spacing w:after="160" w:line="259" w:lineRule="auto"/>
        <w:contextualSpacing/>
        <w:textAlignment w:val="auto"/>
        <w:rPr>
          <w:rFonts w:ascii="Calibri" w:eastAsia="Calibri" w:hAnsi="Calibri" w:cs="Times New Roman"/>
          <w:b/>
          <w:kern w:val="0"/>
          <w:sz w:val="22"/>
          <w:szCs w:val="22"/>
          <w:u w:val="single"/>
          <w:lang w:eastAsia="en-US"/>
        </w:rPr>
      </w:pPr>
      <w:r w:rsidRPr="00723376">
        <w:rPr>
          <w:rFonts w:ascii="Calibri" w:eastAsia="Calibri" w:hAnsi="Calibri" w:cs="Times New Roman"/>
          <w:b/>
          <w:kern w:val="0"/>
          <w:sz w:val="22"/>
          <w:szCs w:val="22"/>
          <w:u w:val="single"/>
          <w:lang w:eastAsia="en-US"/>
        </w:rPr>
        <w:t xml:space="preserve">Madame </w:t>
      </w:r>
      <w:r w:rsidR="00BB19D1">
        <w:rPr>
          <w:rFonts w:ascii="Calibri" w:eastAsia="Calibri" w:hAnsi="Calibri" w:cs="Times New Roman"/>
          <w:b/>
          <w:kern w:val="0"/>
          <w:sz w:val="22"/>
          <w:szCs w:val="22"/>
          <w:u w:val="single"/>
          <w:lang w:eastAsia="en-US"/>
        </w:rPr>
        <w:t>X</w:t>
      </w:r>
      <w:r w:rsidRPr="00723376">
        <w:rPr>
          <w:rFonts w:ascii="Calibri" w:eastAsia="Calibri" w:hAnsi="Calibri" w:cs="Times New Roman"/>
          <w:b/>
          <w:kern w:val="0"/>
          <w:sz w:val="22"/>
          <w:szCs w:val="22"/>
          <w:u w:val="single"/>
          <w:lang w:eastAsia="en-US"/>
        </w:rPr>
        <w:t xml:space="preserve"> avait-elle droit à une indemnité de transition ou en d’autres termes, était-elle un travailleur repris par </w:t>
      </w:r>
      <w:r w:rsidR="00BB19D1">
        <w:rPr>
          <w:rFonts w:ascii="Calibri" w:eastAsia="Calibri" w:hAnsi="Calibri" w:cs="Times New Roman"/>
          <w:b/>
          <w:kern w:val="0"/>
          <w:sz w:val="22"/>
          <w:szCs w:val="22"/>
          <w:u w:val="single"/>
          <w:lang w:eastAsia="en-US"/>
        </w:rPr>
        <w:t xml:space="preserve">Y </w:t>
      </w:r>
      <w:r w:rsidRPr="00723376">
        <w:rPr>
          <w:rFonts w:ascii="Calibri" w:eastAsia="Calibri" w:hAnsi="Calibri" w:cs="Times New Roman"/>
          <w:b/>
          <w:kern w:val="0"/>
          <w:sz w:val="22"/>
          <w:szCs w:val="22"/>
          <w:u w:val="single"/>
          <w:lang w:eastAsia="en-US"/>
        </w:rPr>
        <w:t>?</w:t>
      </w:r>
    </w:p>
    <w:p w14:paraId="67AD67AD" w14:textId="77777777" w:rsidR="00DE062A" w:rsidRPr="00723376" w:rsidRDefault="00DE062A" w:rsidP="00DE062A">
      <w:pPr>
        <w:widowControl/>
        <w:suppressAutoHyphens w:val="0"/>
        <w:autoSpaceDN/>
        <w:spacing w:after="160" w:line="259" w:lineRule="auto"/>
        <w:contextualSpacing/>
        <w:textAlignment w:val="auto"/>
        <w:rPr>
          <w:rFonts w:ascii="Calibri" w:eastAsia="Calibri" w:hAnsi="Calibri" w:cs="Times New Roman"/>
          <w:b/>
          <w:kern w:val="0"/>
          <w:sz w:val="22"/>
          <w:szCs w:val="22"/>
          <w:u w:val="single"/>
          <w:lang w:eastAsia="en-US"/>
        </w:rPr>
      </w:pPr>
    </w:p>
    <w:p w14:paraId="026F3FC7" w14:textId="77777777" w:rsidR="00723376" w:rsidRPr="00723376" w:rsidRDefault="00723376" w:rsidP="00DE062A">
      <w:pPr>
        <w:widowControl/>
        <w:suppressAutoHyphens w:val="0"/>
        <w:autoSpaceDN/>
        <w:spacing w:after="160"/>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Par référence aux principes rappelés ci-dessus,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avait droit à une indemnité de transition à charge du</w:t>
      </w:r>
      <w:r w:rsidR="00FA456C">
        <w:rPr>
          <w:rFonts w:ascii="Calibri" w:eastAsia="Calibri" w:hAnsi="Calibri" w:cs="Times New Roman"/>
          <w:kern w:val="0"/>
          <w:sz w:val="22"/>
          <w:szCs w:val="22"/>
          <w:lang w:eastAsia="en-US"/>
        </w:rPr>
        <w:t xml:space="preserve"> F.F.E. </w:t>
      </w:r>
      <w:r w:rsidRPr="00723376">
        <w:rPr>
          <w:rFonts w:ascii="Calibri" w:eastAsia="Calibri" w:hAnsi="Calibri" w:cs="Times New Roman"/>
          <w:kern w:val="0"/>
          <w:sz w:val="22"/>
          <w:szCs w:val="22"/>
          <w:lang w:eastAsia="en-US"/>
        </w:rPr>
        <w:t>car :</w:t>
      </w:r>
    </w:p>
    <w:p w14:paraId="00EE664D" w14:textId="77777777" w:rsidR="00723376" w:rsidRP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La reprise d’actif a eu lieu dès le 2 mai 2019 (date de l’ouverture du salon de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 xml:space="preserve">et de l’engagement de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et d’une autre coiffeuse, la troisième étant engagée à partir du 3 mai 2019 semble-t-il), soit dans le délai de deux mois débutant le jour de la faillite (le 29 avril 2019) ;</w:t>
      </w:r>
    </w:p>
    <w:p w14:paraId="54D74382" w14:textId="77777777" w:rsidR="00723376" w:rsidRPr="00723376" w:rsidRDefault="00723376" w:rsidP="00DE062A">
      <w:pPr>
        <w:widowControl/>
        <w:suppressAutoHyphens w:val="0"/>
        <w:autoSpaceDN/>
        <w:spacing w:after="160"/>
        <w:ind w:left="405"/>
        <w:contextualSpacing/>
        <w:jc w:val="both"/>
        <w:textAlignment w:val="auto"/>
        <w:rPr>
          <w:rFonts w:ascii="Calibri" w:eastAsia="Calibri" w:hAnsi="Calibri" w:cs="Times New Roman"/>
          <w:kern w:val="0"/>
          <w:sz w:val="22"/>
          <w:szCs w:val="22"/>
          <w:lang w:eastAsia="en-US"/>
        </w:rPr>
      </w:pPr>
    </w:p>
    <w:p w14:paraId="6145B127" w14:textId="77777777" w:rsidR="00723376" w:rsidRP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était liée par un contrat de travail à la société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lors de la faillite de celle-ci et a droit à une indemnité de rupture à ch</w:t>
      </w:r>
      <w:r w:rsidR="00C11CD7">
        <w:rPr>
          <w:rFonts w:ascii="Calibri" w:eastAsia="Calibri" w:hAnsi="Calibri" w:cs="Times New Roman"/>
          <w:kern w:val="0"/>
          <w:sz w:val="22"/>
          <w:szCs w:val="22"/>
          <w:lang w:eastAsia="en-US"/>
        </w:rPr>
        <w:t xml:space="preserve">arge de </w:t>
      </w:r>
      <w:r w:rsidR="00BB19D1">
        <w:rPr>
          <w:rFonts w:ascii="Calibri" w:eastAsia="Calibri" w:hAnsi="Calibri" w:cs="Times New Roman"/>
          <w:kern w:val="0"/>
          <w:sz w:val="22"/>
          <w:szCs w:val="22"/>
          <w:lang w:eastAsia="en-US"/>
        </w:rPr>
        <w:t>Z</w:t>
      </w:r>
      <w:r w:rsidR="00C11CD7">
        <w:rPr>
          <w:rFonts w:ascii="Calibri" w:eastAsia="Calibri" w:hAnsi="Calibri" w:cs="Times New Roman"/>
          <w:kern w:val="0"/>
          <w:sz w:val="22"/>
          <w:szCs w:val="22"/>
          <w:lang w:eastAsia="en-US"/>
        </w:rPr>
        <w:t xml:space="preserve"> en faillite</w:t>
      </w:r>
      <w:r w:rsidRPr="00723376">
        <w:rPr>
          <w:rFonts w:ascii="Calibri" w:eastAsia="Calibri" w:hAnsi="Calibri" w:cs="Times New Roman"/>
          <w:kern w:val="0"/>
          <w:sz w:val="22"/>
          <w:szCs w:val="22"/>
          <w:lang w:eastAsia="en-US"/>
        </w:rPr>
        <w:t xml:space="preserve">; il  résulte des pièces qu’il y eut un certain « cafouillage » au moment de la faillite,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semblant considérer que la faillite mettait fin aux contrats de travail (alors que tel n’est pas le cas), le curateur refusant (en tout cas pour Madame </w:t>
      </w:r>
      <w:r w:rsidR="00BB19D1">
        <w:rPr>
          <w:rFonts w:ascii="Calibri" w:eastAsia="Calibri" w:hAnsi="Calibri" w:cs="Times New Roman"/>
          <w:kern w:val="0"/>
          <w:sz w:val="22"/>
          <w:szCs w:val="22"/>
          <w:lang w:eastAsia="en-US"/>
        </w:rPr>
        <w:t>S</w:t>
      </w:r>
      <w:r w:rsidRPr="00723376">
        <w:rPr>
          <w:rFonts w:ascii="Calibri" w:eastAsia="Calibri" w:hAnsi="Calibri" w:cs="Times New Roman"/>
          <w:kern w:val="0"/>
          <w:sz w:val="22"/>
          <w:szCs w:val="22"/>
          <w:lang w:eastAsia="en-US"/>
        </w:rPr>
        <w:t>) dans un premier temps qu</w:t>
      </w:r>
      <w:r w:rsidR="00C11CD7">
        <w:rPr>
          <w:rFonts w:ascii="Calibri" w:eastAsia="Calibri" w:hAnsi="Calibri" w:cs="Times New Roman"/>
          <w:kern w:val="0"/>
          <w:sz w:val="22"/>
          <w:szCs w:val="22"/>
          <w:lang w:eastAsia="en-US"/>
        </w:rPr>
        <w:t xml:space="preserve">e le droit à </w:t>
      </w:r>
      <w:r w:rsidRPr="00723376">
        <w:rPr>
          <w:rFonts w:ascii="Calibri" w:eastAsia="Calibri" w:hAnsi="Calibri" w:cs="Times New Roman"/>
          <w:kern w:val="0"/>
          <w:sz w:val="22"/>
          <w:szCs w:val="22"/>
          <w:lang w:eastAsia="en-US"/>
        </w:rPr>
        <w:t xml:space="preserve">une indemnité de rupture soit </w:t>
      </w:r>
      <w:r w:rsidR="00C11CD7">
        <w:rPr>
          <w:rFonts w:ascii="Calibri" w:eastAsia="Calibri" w:hAnsi="Calibri" w:cs="Times New Roman"/>
          <w:kern w:val="0"/>
          <w:sz w:val="22"/>
          <w:szCs w:val="22"/>
          <w:lang w:eastAsia="en-US"/>
        </w:rPr>
        <w:t xml:space="preserve">reconnu </w:t>
      </w:r>
      <w:r w:rsidRPr="00723376">
        <w:rPr>
          <w:rFonts w:ascii="Calibri" w:eastAsia="Calibri" w:hAnsi="Calibri" w:cs="Times New Roman"/>
          <w:kern w:val="0"/>
          <w:sz w:val="22"/>
          <w:szCs w:val="22"/>
          <w:lang w:eastAsia="en-US"/>
        </w:rPr>
        <w:t xml:space="preserve">en l’absence de tout acte de licenciement ; force est toutefois de constater qu’en définitive, la créance de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pour une indemnité de rupture a été acceptée par le curateur.</w:t>
      </w:r>
    </w:p>
    <w:p w14:paraId="49AA1795" w14:textId="77777777" w:rsidR="00723376" w:rsidRPr="00723376" w:rsidRDefault="00723376" w:rsidP="00DE062A">
      <w:pPr>
        <w:widowControl/>
        <w:suppressAutoHyphens w:val="0"/>
        <w:autoSpaceDN/>
        <w:spacing w:after="160" w:line="259" w:lineRule="auto"/>
        <w:ind w:left="720"/>
        <w:contextualSpacing/>
        <w:jc w:val="both"/>
        <w:textAlignment w:val="auto"/>
        <w:rPr>
          <w:rFonts w:ascii="Calibri" w:eastAsia="Calibri" w:hAnsi="Calibri" w:cs="Times New Roman"/>
          <w:kern w:val="0"/>
          <w:sz w:val="22"/>
          <w:szCs w:val="22"/>
          <w:lang w:eastAsia="en-US"/>
        </w:rPr>
      </w:pPr>
    </w:p>
    <w:p w14:paraId="1D5796FB" w14:textId="77777777" w:rsidR="00C11CD7"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a été réengagée par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 xml:space="preserve">dès le 2 mai 2019.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soutient toutefois qu’ayant été réengagée dans le cadre d’un contrat de travail à durée déterminée, cet engagement ne peut être assimilé à une réelle reprise au regard de l’arrêt de la C</w:t>
      </w:r>
      <w:r w:rsidR="00C11CD7">
        <w:rPr>
          <w:rFonts w:ascii="Calibri" w:eastAsia="Calibri" w:hAnsi="Calibri" w:cs="Times New Roman"/>
          <w:kern w:val="0"/>
          <w:sz w:val="22"/>
          <w:szCs w:val="22"/>
          <w:lang w:eastAsia="en-US"/>
        </w:rPr>
        <w:t>our de cassation du 5 mai 1997.</w:t>
      </w:r>
    </w:p>
    <w:p w14:paraId="4447EB95" w14:textId="77777777" w:rsidR="00C11CD7" w:rsidRDefault="00C11CD7" w:rsidP="00C11CD7">
      <w:pPr>
        <w:pStyle w:val="Paragraphedeliste"/>
        <w:rPr>
          <w:rFonts w:ascii="Calibri" w:eastAsia="Calibri" w:hAnsi="Calibri" w:cs="Times New Roman"/>
          <w:kern w:val="0"/>
          <w:sz w:val="22"/>
          <w:szCs w:val="22"/>
          <w:lang w:eastAsia="en-US"/>
        </w:rPr>
      </w:pPr>
    </w:p>
    <w:p w14:paraId="16258926" w14:textId="77777777" w:rsidR="00723376" w:rsidRPr="00723376" w:rsidRDefault="00723376" w:rsidP="00DE062A">
      <w:pPr>
        <w:widowControl/>
        <w:suppressAutoHyphens w:val="0"/>
        <w:autoSpaceDN/>
        <w:spacing w:after="160"/>
        <w:ind w:firstLine="405"/>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Dans cet arrêt</w:t>
      </w:r>
      <w:r w:rsidRPr="00723376">
        <w:rPr>
          <w:rFonts w:ascii="Calibri" w:eastAsia="Calibri" w:hAnsi="Calibri" w:cs="Times New Roman"/>
          <w:kern w:val="0"/>
          <w:sz w:val="22"/>
          <w:szCs w:val="22"/>
          <w:vertAlign w:val="superscript"/>
          <w:lang w:eastAsia="en-US"/>
        </w:rPr>
        <w:footnoteReference w:id="2"/>
      </w:r>
      <w:r w:rsidRPr="00723376">
        <w:rPr>
          <w:rFonts w:ascii="Calibri" w:eastAsia="Calibri" w:hAnsi="Calibri" w:cs="Times New Roman"/>
          <w:kern w:val="0"/>
          <w:sz w:val="22"/>
          <w:szCs w:val="22"/>
          <w:lang w:eastAsia="en-US"/>
        </w:rPr>
        <w:t xml:space="preserve">, la Cour de cassation s’est exprimée comme suit : </w:t>
      </w:r>
    </w:p>
    <w:p w14:paraId="390B3E5D" w14:textId="77777777" w:rsidR="00723376" w:rsidRPr="00723376" w:rsidRDefault="00723376" w:rsidP="00DE062A">
      <w:pPr>
        <w:widowControl/>
        <w:suppressAutoHyphens w:val="0"/>
        <w:autoSpaceDN/>
        <w:spacing w:after="160" w:line="259" w:lineRule="auto"/>
        <w:ind w:left="405"/>
        <w:jc w:val="both"/>
        <w:textAlignment w:val="auto"/>
        <w:rPr>
          <w:rFonts w:ascii="Calibri" w:eastAsia="Calibri" w:hAnsi="Calibri" w:cs="Times New Roman"/>
          <w:i/>
          <w:kern w:val="0"/>
          <w:sz w:val="22"/>
          <w:szCs w:val="22"/>
          <w:lang w:eastAsia="en-US"/>
        </w:rPr>
      </w:pPr>
      <w:r w:rsidRPr="00723376">
        <w:rPr>
          <w:rFonts w:ascii="Calibri" w:eastAsia="Calibri" w:hAnsi="Calibri" w:cs="Times New Roman"/>
          <w:kern w:val="0"/>
          <w:sz w:val="22"/>
          <w:szCs w:val="22"/>
          <w:lang w:eastAsia="en-US"/>
        </w:rPr>
        <w:t>« </w:t>
      </w:r>
      <w:r w:rsidRPr="00723376">
        <w:rPr>
          <w:rFonts w:ascii="Calibri" w:eastAsia="Calibri" w:hAnsi="Calibri" w:cs="Times New Roman"/>
          <w:i/>
          <w:kern w:val="0"/>
          <w:sz w:val="22"/>
          <w:szCs w:val="22"/>
          <w:lang w:eastAsia="en-US"/>
        </w:rPr>
        <w:t xml:space="preserve">Il ressort de l'exposé des motifs du projet de la loi du 12 avril 1985 que le législateur n'a exclu du droit à l'indemnité de licenciement et à l'indemnité de rupture prévues par les lois </w:t>
      </w:r>
      <w:r w:rsidRPr="00723376">
        <w:rPr>
          <w:rFonts w:ascii="Calibri" w:eastAsia="Calibri" w:hAnsi="Calibri" w:cs="Times New Roman"/>
          <w:i/>
          <w:kern w:val="0"/>
          <w:sz w:val="22"/>
          <w:szCs w:val="22"/>
          <w:lang w:eastAsia="en-US"/>
        </w:rPr>
        <w:lastRenderedPageBreak/>
        <w:t>du 28 juin 1966 et du 30 juin 1967, le travailleur admis au bénéfice de l'indemnité de transition que parce que, en vertu de la convention collective précitée, ce travailleur bénéficiait chez son nouvel employeur du maintien intégral de son ancienneté de service et avait perçu l'indemnité de transition pendant la période d'interruption du travail;</w:t>
      </w:r>
    </w:p>
    <w:p w14:paraId="7F643B2A" w14:textId="77777777" w:rsidR="00723376" w:rsidRPr="00723376" w:rsidRDefault="00723376" w:rsidP="00DE062A">
      <w:pPr>
        <w:widowControl/>
        <w:suppressAutoHyphens w:val="0"/>
        <w:autoSpaceDN/>
        <w:spacing w:after="160" w:line="259" w:lineRule="auto"/>
        <w:ind w:left="405"/>
        <w:jc w:val="both"/>
        <w:textAlignment w:val="auto"/>
        <w:rPr>
          <w:rFonts w:ascii="Calibri" w:eastAsia="Calibri" w:hAnsi="Calibri" w:cs="Times New Roman"/>
          <w:i/>
          <w:kern w:val="0"/>
          <w:sz w:val="22"/>
          <w:szCs w:val="22"/>
          <w:lang w:eastAsia="en-US"/>
        </w:rPr>
      </w:pPr>
      <w:r w:rsidRPr="00723376">
        <w:rPr>
          <w:rFonts w:ascii="Calibri" w:eastAsia="Calibri" w:hAnsi="Calibri" w:cs="Times New Roman"/>
          <w:i/>
          <w:kern w:val="0"/>
          <w:sz w:val="22"/>
          <w:szCs w:val="22"/>
          <w:lang w:eastAsia="en-US"/>
        </w:rPr>
        <w:t>Attendu qu'il en résulte que dans la loi du 12 avril 1985, le législateur n'a pu avoir en vue que la situation du travailleur qui, engagé par contrat à durée indéterminée par son nouvel employeur, peut faire valoir à l'égard de celui-ci, pour le calcul de son préavis ou de l'indemnité de rupture, l'ancienneté acquise chez son précédent employeur;</w:t>
      </w:r>
    </w:p>
    <w:p w14:paraId="433EC21A" w14:textId="77777777" w:rsidR="00723376" w:rsidRPr="00723376" w:rsidRDefault="00723376" w:rsidP="00DE062A">
      <w:pPr>
        <w:widowControl/>
        <w:suppressAutoHyphens w:val="0"/>
        <w:autoSpaceDN/>
        <w:spacing w:after="160" w:line="259" w:lineRule="auto"/>
        <w:ind w:left="405"/>
        <w:jc w:val="both"/>
        <w:textAlignment w:val="auto"/>
        <w:rPr>
          <w:rFonts w:ascii="Calibri" w:eastAsia="Calibri" w:hAnsi="Calibri" w:cs="Times New Roman"/>
          <w:kern w:val="0"/>
          <w:sz w:val="22"/>
          <w:szCs w:val="22"/>
          <w:lang w:eastAsia="en-US"/>
        </w:rPr>
      </w:pPr>
      <w:r w:rsidRPr="00723376">
        <w:rPr>
          <w:rFonts w:ascii="Calibri" w:eastAsia="Calibri" w:hAnsi="Calibri" w:cs="Times New Roman"/>
          <w:i/>
          <w:kern w:val="0"/>
          <w:sz w:val="22"/>
          <w:szCs w:val="22"/>
          <w:lang w:eastAsia="en-US"/>
        </w:rPr>
        <w:t>Qu'en considérant que le défendeur ne peut prétendre à l'indemnité de transition parce qu'il a été repris sous contrat à durée déterminée et que l'exclusion du droit à l'indemnité de rupture, à charge du Fonds, prévue à l'article 2, alinéa 4, de la loi du 30 juin 1967 ne lui est, dès lors, pas applicable, l'arrêt justifie légalement sa décision;</w:t>
      </w:r>
      <w:r w:rsidRPr="00723376">
        <w:rPr>
          <w:rFonts w:ascii="Calibri" w:eastAsia="Calibri" w:hAnsi="Calibri" w:cs="Times New Roman"/>
          <w:kern w:val="0"/>
          <w:sz w:val="22"/>
          <w:szCs w:val="22"/>
          <w:lang w:eastAsia="en-US"/>
        </w:rPr>
        <w:t> »</w:t>
      </w:r>
    </w:p>
    <w:p w14:paraId="59A9456C" w14:textId="77777777" w:rsidR="00723376" w:rsidRPr="00723376" w:rsidRDefault="00723376" w:rsidP="00DE062A">
      <w:pPr>
        <w:widowControl/>
        <w:suppressAutoHyphens w:val="0"/>
        <w:autoSpaceDN/>
        <w:spacing w:after="160" w:line="259" w:lineRule="auto"/>
        <w:ind w:left="405"/>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Cet arrêt est conforme à la logique du système : le travailleur réengagé ne doit être privé de l’indemnité de rupture due par son ancien employeur que s’il a une chance de pouvoir faire valoir son ancienneté dans le cadre d’un licenciement par son nouvel employeur. Tel n’est pas le cas s’il est engagé sous contrat de travail à durée déterminée.</w:t>
      </w:r>
    </w:p>
    <w:p w14:paraId="4DD9223D"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Cet enseignement doit toutefois être nuancé. Le raisonnement tenu par la Cour de cassation ne doit pas permettre au nouvel employeur de contourner le système ; en d’autres mots, un engagement sous contrat de travail à durée déterminée qui n’a pour but que d’échapper à la reprise d’ancienneté ne peut être admis.</w:t>
      </w:r>
    </w:p>
    <w:p w14:paraId="1E036E7B"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Or il pourrait être soutenu que tel fut le cas en l’espèce puisque le contrat de travail à durée déterminée de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a été suivi immédiatement d’un engagement sous contrat de travail à durée indéterminée dans les mêmes conditions. </w:t>
      </w:r>
    </w:p>
    <w:p w14:paraId="04B222E1"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La continuité des 3 contrats de travail (au sein de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puis de LA </w:t>
      </w:r>
      <w:r w:rsidR="00BB19D1">
        <w:rPr>
          <w:rFonts w:ascii="Calibri" w:eastAsia="Calibri" w:hAnsi="Calibri" w:cs="Times New Roman"/>
          <w:kern w:val="0"/>
          <w:sz w:val="22"/>
          <w:szCs w:val="22"/>
          <w:lang w:eastAsia="en-US"/>
        </w:rPr>
        <w:t>Y</w:t>
      </w:r>
      <w:r w:rsidRPr="00723376">
        <w:rPr>
          <w:rFonts w:ascii="Calibri" w:eastAsia="Calibri" w:hAnsi="Calibri" w:cs="Times New Roman"/>
          <w:kern w:val="0"/>
          <w:sz w:val="22"/>
          <w:szCs w:val="22"/>
          <w:lang w:eastAsia="en-US"/>
        </w:rPr>
        <w:t>) et l’exacte identité des conditions de travail qui y sont prévues sont d’ailleurs flagrantes :</w:t>
      </w:r>
    </w:p>
    <w:p w14:paraId="40F0BC13" w14:textId="77777777" w:rsidR="00723376" w:rsidRP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Lorsque la faillite de </w:t>
      </w:r>
      <w:r w:rsidR="00BB19D1">
        <w:rPr>
          <w:rFonts w:ascii="Calibri" w:eastAsia="Calibri" w:hAnsi="Calibri" w:cs="Times New Roman"/>
          <w:kern w:val="0"/>
          <w:sz w:val="22"/>
          <w:szCs w:val="22"/>
          <w:lang w:eastAsia="en-US"/>
        </w:rPr>
        <w:t>Z</w:t>
      </w:r>
      <w:r w:rsidRPr="00723376">
        <w:rPr>
          <w:rFonts w:ascii="Calibri" w:eastAsia="Calibri" w:hAnsi="Calibri" w:cs="Times New Roman"/>
          <w:kern w:val="0"/>
          <w:sz w:val="22"/>
          <w:szCs w:val="22"/>
          <w:lang w:eastAsia="en-US"/>
        </w:rPr>
        <w:t xml:space="preserve"> est intervenue,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était occupée à raison de 30,40 heures par semaine les mardi, mercredi, vendredi et samedi et elle pro-méritait un salaire horaire de 12,7684 €.</w:t>
      </w:r>
    </w:p>
    <w:p w14:paraId="6E6BF06D" w14:textId="77777777" w:rsidR="00723376" w:rsidRP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Elle a été engagée sous contrat de travail à durée déterminée par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pour une durée de 30,40 heures par semaine réparties entre les mardi, mercredi, vendredi et samedi à partir du 2 mai 2019 (le 1</w:t>
      </w:r>
      <w:r w:rsidRPr="00723376">
        <w:rPr>
          <w:rFonts w:ascii="Calibri" w:eastAsia="Calibri" w:hAnsi="Calibri" w:cs="Times New Roman"/>
          <w:kern w:val="0"/>
          <w:sz w:val="22"/>
          <w:szCs w:val="22"/>
          <w:vertAlign w:val="superscript"/>
          <w:lang w:eastAsia="en-US"/>
        </w:rPr>
        <w:t>er</w:t>
      </w:r>
      <w:r w:rsidRPr="00723376">
        <w:rPr>
          <w:rFonts w:ascii="Calibri" w:eastAsia="Calibri" w:hAnsi="Calibri" w:cs="Times New Roman"/>
          <w:kern w:val="0"/>
          <w:sz w:val="22"/>
          <w:szCs w:val="22"/>
          <w:lang w:eastAsia="en-US"/>
        </w:rPr>
        <w:t xml:space="preserve"> mai étant férié) ; elle n’a toutefois débuté ses prestations que le vendredi 3 mai 2019 (le 2 mai étant un jeudi, soit un jour où elle ne prestait pas habituellement) ; le salaire horaire prévu est de 12,7684 €.</w:t>
      </w:r>
    </w:p>
    <w:p w14:paraId="3DF38966" w14:textId="77777777" w:rsidR="00723376" w:rsidRPr="00723376" w:rsidRDefault="00723376" w:rsidP="00DE062A">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Son contrat à durée déterminée a pris fin le vendredi 2 août 2019 et son contrat à durée indéterminée a débuté le mardi 6 août (le lundi 5 août étant un jour de fermeture habituelle des salons de coiffure). Il prévoit également une durée de travail de 30,40 heures réparties entre les mardis, mercredis, vendredis et samedis, ainsi qu’un salaire horaire de 12,7684 €.</w:t>
      </w:r>
    </w:p>
    <w:p w14:paraId="42EAD503" w14:textId="77777777" w:rsidR="00C11CD7" w:rsidRDefault="00C11CD7" w:rsidP="00DE062A">
      <w:pPr>
        <w:widowControl/>
        <w:suppressAutoHyphens w:val="0"/>
        <w:autoSpaceDN/>
        <w:spacing w:after="160" w:line="259" w:lineRule="auto"/>
        <w:ind w:left="45"/>
        <w:jc w:val="both"/>
        <w:textAlignment w:val="auto"/>
        <w:rPr>
          <w:rFonts w:ascii="Calibri" w:eastAsia="Calibri" w:hAnsi="Calibri" w:cs="Times New Roman"/>
          <w:kern w:val="0"/>
          <w:sz w:val="22"/>
          <w:szCs w:val="22"/>
          <w:lang w:eastAsia="en-US"/>
        </w:rPr>
      </w:pPr>
    </w:p>
    <w:p w14:paraId="45FAAE74" w14:textId="77777777" w:rsidR="00723376" w:rsidRPr="00723376" w:rsidRDefault="00723376" w:rsidP="00DE062A">
      <w:pPr>
        <w:widowControl/>
        <w:suppressAutoHyphens w:val="0"/>
        <w:autoSpaceDN/>
        <w:spacing w:after="160" w:line="259" w:lineRule="auto"/>
        <w:ind w:left="45"/>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Les explications de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 xml:space="preserve">concernant cet engagement sous contrat à durée déterminée avant un engagement sous contrat à durée indéterminée ne convainquent pas le Tribunal que ce « mécanisme » avait un autre but que d’éviter la reprise de l’ancienneté de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w:t>
      </w:r>
    </w:p>
    <w:p w14:paraId="3D03743A" w14:textId="77777777" w:rsidR="00723376" w:rsidRPr="00723376" w:rsidRDefault="00723376" w:rsidP="00DE062A">
      <w:pPr>
        <w:widowControl/>
        <w:suppressAutoHyphens w:val="0"/>
        <w:autoSpaceDN/>
        <w:spacing w:after="160" w:line="259" w:lineRule="auto"/>
        <w:ind w:left="45"/>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En effet,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soutie</w:t>
      </w:r>
      <w:r w:rsidR="00DE062A">
        <w:rPr>
          <w:rFonts w:ascii="Calibri" w:eastAsia="Calibri" w:hAnsi="Calibri" w:cs="Times New Roman"/>
          <w:kern w:val="0"/>
          <w:sz w:val="22"/>
          <w:szCs w:val="22"/>
          <w:lang w:eastAsia="en-US"/>
        </w:rPr>
        <w:t>nt que M</w:t>
      </w:r>
      <w:r w:rsidRPr="00723376">
        <w:rPr>
          <w:rFonts w:ascii="Calibri" w:eastAsia="Calibri" w:hAnsi="Calibri" w:cs="Times New Roman"/>
          <w:kern w:val="0"/>
          <w:sz w:val="22"/>
          <w:szCs w:val="22"/>
          <w:lang w:eastAsia="en-US"/>
        </w:rPr>
        <w:t xml:space="preserve">adame </w:t>
      </w:r>
      <w:r w:rsidR="00BB19D1">
        <w:rPr>
          <w:rFonts w:ascii="Calibri" w:eastAsia="Calibri" w:hAnsi="Calibri" w:cs="Times New Roman"/>
          <w:kern w:val="0"/>
          <w:sz w:val="22"/>
          <w:szCs w:val="22"/>
          <w:lang w:eastAsia="en-US"/>
        </w:rPr>
        <w:t>S</w:t>
      </w:r>
      <w:r w:rsidRPr="00723376">
        <w:rPr>
          <w:rFonts w:ascii="Calibri" w:eastAsia="Calibri" w:hAnsi="Calibri" w:cs="Times New Roman"/>
          <w:kern w:val="0"/>
          <w:sz w:val="22"/>
          <w:szCs w:val="22"/>
          <w:lang w:eastAsia="en-US"/>
        </w:rPr>
        <w:t xml:space="preserve"> se lançait pour la première fois comme indépendante, qu’elle n’avait aucune garantie que le commerce allait démarrer et qu’elle n’avait pas de fonds propres. </w:t>
      </w:r>
      <w:r w:rsidRPr="00723376">
        <w:rPr>
          <w:rFonts w:ascii="Calibri" w:eastAsia="Calibri" w:hAnsi="Calibri" w:cs="Times New Roman"/>
          <w:kern w:val="0"/>
          <w:sz w:val="22"/>
          <w:szCs w:val="22"/>
          <w:lang w:eastAsia="en-US"/>
        </w:rPr>
        <w:lastRenderedPageBreak/>
        <w:t>Le Tribunal estime qu’il s’agissait donc, ni plus ni moins, de ne pas prendre le risque de devoir donner leurs préavis aux travailleurs si l’activité ne démarrait pas comme prévu … c’est-à-dire d’éviter de devoir respecter l’ancienneté à laquelle les travailleurs pouvaient prétendre en vertu de la CCT n° 32 bis.</w:t>
      </w:r>
    </w:p>
    <w:p w14:paraId="488EB7FA"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Quoi qu’il en soit, force est de constater qu’en l’espèce,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a été réengagée sous contrat de travail à durée indéterminée dans les 4 mois de la reprise de l’actif (</w:t>
      </w:r>
      <w:r w:rsidR="00C11CD7">
        <w:rPr>
          <w:rFonts w:ascii="Calibri" w:eastAsia="Calibri" w:hAnsi="Calibri" w:cs="Times New Roman"/>
          <w:kern w:val="0"/>
          <w:sz w:val="22"/>
          <w:szCs w:val="22"/>
          <w:lang w:eastAsia="en-US"/>
        </w:rPr>
        <w:t xml:space="preserve">le </w:t>
      </w:r>
      <w:r w:rsidRPr="00723376">
        <w:rPr>
          <w:rFonts w:ascii="Calibri" w:eastAsia="Calibri" w:hAnsi="Calibri" w:cs="Times New Roman"/>
          <w:kern w:val="0"/>
          <w:sz w:val="22"/>
          <w:szCs w:val="22"/>
          <w:lang w:eastAsia="en-US"/>
        </w:rPr>
        <w:t xml:space="preserve">6 août 2019 alors que la reprise a eu lieu le 2 mai 2019). </w:t>
      </w:r>
    </w:p>
    <w:p w14:paraId="2634C2AB"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Elle a donc bénéficié, dans le délai requis, d’un contrat lui donnant la possibilité de bénéficier de sa reprise d’ancienneté </w:t>
      </w:r>
      <w:r w:rsidR="00C11CD7">
        <w:rPr>
          <w:rFonts w:ascii="Calibri" w:eastAsia="Calibri" w:hAnsi="Calibri" w:cs="Times New Roman"/>
          <w:kern w:val="0"/>
          <w:sz w:val="22"/>
          <w:szCs w:val="22"/>
          <w:lang w:eastAsia="en-US"/>
        </w:rPr>
        <w:t xml:space="preserve">pour le calcul du préavis </w:t>
      </w:r>
      <w:r w:rsidRPr="00723376">
        <w:rPr>
          <w:rFonts w:ascii="Calibri" w:eastAsia="Calibri" w:hAnsi="Calibri" w:cs="Times New Roman"/>
          <w:kern w:val="0"/>
          <w:sz w:val="22"/>
          <w:szCs w:val="22"/>
          <w:lang w:eastAsia="en-US"/>
        </w:rPr>
        <w:t>en cas de licenciement.</w:t>
      </w:r>
    </w:p>
    <w:p w14:paraId="511CF396"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Par conséquent, même dans une interprétation stricte, telle que suggérée par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la jurisprudence de la Cour de cassation ne fait pas obstacle à ce que son ancienneté soit reconnue par LA </w:t>
      </w:r>
      <w:r w:rsidR="00BB19D1">
        <w:rPr>
          <w:rFonts w:ascii="Calibri" w:eastAsia="Calibri" w:hAnsi="Calibri" w:cs="Times New Roman"/>
          <w:kern w:val="0"/>
          <w:sz w:val="22"/>
          <w:szCs w:val="22"/>
          <w:lang w:eastAsia="en-US"/>
        </w:rPr>
        <w:t>Y</w:t>
      </w:r>
      <w:r w:rsidRPr="00723376">
        <w:rPr>
          <w:rFonts w:ascii="Calibri" w:eastAsia="Calibri" w:hAnsi="Calibri" w:cs="Times New Roman"/>
          <w:kern w:val="0"/>
          <w:sz w:val="22"/>
          <w:szCs w:val="22"/>
          <w:lang w:eastAsia="en-US"/>
        </w:rPr>
        <w:t xml:space="preserve">. </w:t>
      </w:r>
    </w:p>
    <w:p w14:paraId="5EB996AF" w14:textId="77777777" w:rsidR="00723376" w:rsidRPr="00723376" w:rsidRDefault="00723376" w:rsidP="00DE062A">
      <w:pPr>
        <w:widowControl/>
        <w:suppressAutoHyphens w:val="0"/>
        <w:autoSpaceDN/>
        <w:spacing w:after="160" w:line="259" w:lineRule="auto"/>
        <w:jc w:val="both"/>
        <w:textAlignment w:val="auto"/>
        <w:rPr>
          <w:rFonts w:ascii="Calibri" w:eastAsia="Calibri" w:hAnsi="Calibri" w:cs="Times New Roman"/>
          <w:kern w:val="0"/>
          <w:sz w:val="22"/>
          <w:szCs w:val="22"/>
          <w:highlight w:val="yellow"/>
          <w:lang w:eastAsia="en-US"/>
        </w:rPr>
      </w:pPr>
      <w:r w:rsidRPr="00723376">
        <w:rPr>
          <w:rFonts w:ascii="Calibri" w:eastAsia="Calibri" w:hAnsi="Calibri" w:cs="Times New Roman"/>
          <w:kern w:val="0"/>
          <w:sz w:val="22"/>
          <w:szCs w:val="22"/>
          <w:lang w:eastAsia="en-US"/>
        </w:rPr>
        <w:t>Elle n’a donc pas droit à l’indemnité de rupture à charge du</w:t>
      </w:r>
      <w:r w:rsidR="00FA456C">
        <w:rPr>
          <w:rFonts w:ascii="Calibri" w:eastAsia="Calibri" w:hAnsi="Calibri" w:cs="Times New Roman"/>
          <w:kern w:val="0"/>
          <w:sz w:val="22"/>
          <w:szCs w:val="22"/>
          <w:lang w:eastAsia="en-US"/>
        </w:rPr>
        <w:t xml:space="preserve"> F.F.E. </w:t>
      </w:r>
      <w:r w:rsidRPr="00723376">
        <w:rPr>
          <w:rFonts w:ascii="Calibri" w:eastAsia="Calibri" w:hAnsi="Calibri" w:cs="Times New Roman"/>
          <w:kern w:val="0"/>
          <w:sz w:val="22"/>
          <w:szCs w:val="22"/>
          <w:lang w:eastAsia="en-US"/>
        </w:rPr>
        <w:t>(articles 41 et 35 §2, alinéa 2 de la loi du 26 juin 202).</w:t>
      </w:r>
    </w:p>
    <w:p w14:paraId="10D6A592" w14:textId="77777777" w:rsidR="00723376" w:rsidRDefault="00723376" w:rsidP="00DE062A">
      <w:pPr>
        <w:widowControl/>
        <w:numPr>
          <w:ilvl w:val="0"/>
          <w:numId w:val="11"/>
        </w:numPr>
        <w:suppressAutoHyphens w:val="0"/>
        <w:autoSpaceDN/>
        <w:spacing w:after="160" w:line="259" w:lineRule="auto"/>
        <w:contextualSpacing/>
        <w:jc w:val="both"/>
        <w:textAlignment w:val="auto"/>
        <w:rPr>
          <w:rFonts w:ascii="Calibri" w:eastAsia="Calibri" w:hAnsi="Calibri" w:cs="Times New Roman"/>
          <w:b/>
          <w:kern w:val="0"/>
          <w:sz w:val="22"/>
          <w:szCs w:val="22"/>
          <w:u w:val="single"/>
          <w:lang w:eastAsia="en-US"/>
        </w:rPr>
      </w:pPr>
      <w:r w:rsidRPr="00723376">
        <w:rPr>
          <w:rFonts w:ascii="Calibri" w:eastAsia="Calibri" w:hAnsi="Calibri" w:cs="Times New Roman"/>
          <w:b/>
          <w:kern w:val="0"/>
          <w:sz w:val="22"/>
          <w:szCs w:val="22"/>
          <w:u w:val="single"/>
          <w:lang w:eastAsia="en-US"/>
        </w:rPr>
        <w:t>Conclusion</w:t>
      </w:r>
    </w:p>
    <w:p w14:paraId="159A9E65" w14:textId="77777777" w:rsidR="00DE062A" w:rsidRPr="00723376" w:rsidRDefault="00DE062A" w:rsidP="00DE062A">
      <w:pPr>
        <w:widowControl/>
        <w:suppressAutoHyphens w:val="0"/>
        <w:autoSpaceDN/>
        <w:spacing w:after="160" w:line="259" w:lineRule="auto"/>
        <w:contextualSpacing/>
        <w:jc w:val="both"/>
        <w:textAlignment w:val="auto"/>
        <w:rPr>
          <w:rFonts w:ascii="Calibri" w:eastAsia="Calibri" w:hAnsi="Calibri" w:cs="Times New Roman"/>
          <w:b/>
          <w:kern w:val="0"/>
          <w:sz w:val="22"/>
          <w:szCs w:val="22"/>
          <w:u w:val="single"/>
          <w:lang w:eastAsia="en-US"/>
        </w:rPr>
      </w:pPr>
    </w:p>
    <w:p w14:paraId="67BB3FB0" w14:textId="77777777" w:rsidR="00723376" w:rsidRPr="00723376" w:rsidRDefault="00723376" w:rsidP="00FE2353">
      <w:pPr>
        <w:widowControl/>
        <w:suppressAutoHyphens w:val="0"/>
        <w:autoSpaceDN/>
        <w:spacing w:after="160"/>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Il résulte de ce qui précède que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est déboutée de sa demande en ce qu’elle est dirigée contre le FFE.</w:t>
      </w:r>
    </w:p>
    <w:p w14:paraId="15872938" w14:textId="77777777" w:rsidR="00723376" w:rsidRPr="00723376" w:rsidRDefault="00723376" w:rsidP="00FE2353">
      <w:pPr>
        <w:widowControl/>
        <w:suppressAutoHyphens w:val="0"/>
        <w:autoSpaceDN/>
        <w:spacing w:after="160"/>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En ce qui concerne sa demande dirigée contre LA </w:t>
      </w:r>
      <w:r w:rsidR="00BB19D1">
        <w:rPr>
          <w:rFonts w:ascii="Calibri" w:eastAsia="Calibri" w:hAnsi="Calibri" w:cs="Times New Roman"/>
          <w:kern w:val="0"/>
          <w:sz w:val="22"/>
          <w:szCs w:val="22"/>
          <w:lang w:eastAsia="en-US"/>
        </w:rPr>
        <w:t>Y</w:t>
      </w:r>
      <w:r w:rsidRPr="00723376">
        <w:rPr>
          <w:rFonts w:ascii="Calibri" w:eastAsia="Calibri" w:hAnsi="Calibri" w:cs="Times New Roman"/>
          <w:kern w:val="0"/>
          <w:sz w:val="22"/>
          <w:szCs w:val="22"/>
          <w:lang w:eastAsia="en-US"/>
        </w:rPr>
        <w:t>, elle doit être déclarée fondée mais devenue sans objet.</w:t>
      </w:r>
    </w:p>
    <w:p w14:paraId="7D44FA7E" w14:textId="77777777" w:rsidR="00723376" w:rsidRPr="00723376" w:rsidRDefault="00723376" w:rsidP="00FE2353">
      <w:pPr>
        <w:widowControl/>
        <w:suppressAutoHyphens w:val="0"/>
        <w:autoSpaceDN/>
        <w:spacing w:after="160"/>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En effet, le contrat de travail à durée indéterminée qui liait 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à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 xml:space="preserve">a pris fin pour cause de force majeure. </w:t>
      </w:r>
    </w:p>
    <w:p w14:paraId="5A4AB9F8" w14:textId="77777777" w:rsidR="00723376" w:rsidRPr="00723376" w:rsidRDefault="00723376" w:rsidP="00FE2353">
      <w:pPr>
        <w:widowControl/>
        <w:suppressAutoHyphens w:val="0"/>
        <w:autoSpaceDN/>
        <w:spacing w:after="160"/>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Madame </w:t>
      </w:r>
      <w:r w:rsidR="00BB19D1">
        <w:rPr>
          <w:rFonts w:ascii="Calibri" w:eastAsia="Calibri" w:hAnsi="Calibri" w:cs="Times New Roman"/>
          <w:kern w:val="0"/>
          <w:sz w:val="22"/>
          <w:szCs w:val="22"/>
          <w:lang w:eastAsia="en-US"/>
        </w:rPr>
        <w:t>X</w:t>
      </w:r>
      <w:r w:rsidRPr="00723376">
        <w:rPr>
          <w:rFonts w:ascii="Calibri" w:eastAsia="Calibri" w:hAnsi="Calibri" w:cs="Times New Roman"/>
          <w:kern w:val="0"/>
          <w:sz w:val="22"/>
          <w:szCs w:val="22"/>
          <w:lang w:eastAsia="en-US"/>
        </w:rPr>
        <w:t xml:space="preserve"> n’a donc plus aucun intérêt au sens de l’article 17 alinéa 2 du Code judiciaire à obtenir la condamnation de </w:t>
      </w:r>
      <w:r w:rsidR="00BB19D1">
        <w:rPr>
          <w:rFonts w:ascii="Calibri" w:eastAsia="Calibri" w:hAnsi="Calibri" w:cs="Times New Roman"/>
          <w:kern w:val="0"/>
          <w:sz w:val="22"/>
          <w:szCs w:val="22"/>
          <w:lang w:eastAsia="en-US"/>
        </w:rPr>
        <w:t xml:space="preserve">Y </w:t>
      </w:r>
      <w:r w:rsidRPr="00723376">
        <w:rPr>
          <w:rFonts w:ascii="Calibri" w:eastAsia="Calibri" w:hAnsi="Calibri" w:cs="Times New Roman"/>
          <w:kern w:val="0"/>
          <w:sz w:val="22"/>
          <w:szCs w:val="22"/>
          <w:lang w:eastAsia="en-US"/>
        </w:rPr>
        <w:t>à reconnaître son ancienneté (puisque seule l’ancienneté prise en compte pour le calcul du délai de préavis est en cause).</w:t>
      </w:r>
    </w:p>
    <w:p w14:paraId="7FCD4538" w14:textId="77777777" w:rsidR="00723376" w:rsidRPr="00723376" w:rsidRDefault="00723376" w:rsidP="00FE2353">
      <w:pPr>
        <w:widowControl/>
        <w:suppressAutoHyphens w:val="0"/>
        <w:autoSpaceDN/>
        <w:spacing w:after="160"/>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A cet égard, le Tribunal rappelle que </w:t>
      </w:r>
      <w:r w:rsidRPr="00723376">
        <w:rPr>
          <w:rFonts w:ascii="Calibri" w:eastAsia="Calibri" w:hAnsi="Calibri" w:cs="Times New Roman"/>
          <w:i/>
          <w:kern w:val="0"/>
          <w:sz w:val="22"/>
          <w:szCs w:val="22"/>
          <w:lang w:eastAsia="en-US"/>
        </w:rPr>
        <w:t xml:space="preserve">« L’intérêt requis pour l’introduction d’une demande en justice consiste en tout avantage matériel ou moral, effectif, </w:t>
      </w:r>
      <w:r w:rsidRPr="00723376">
        <w:rPr>
          <w:rFonts w:ascii="Calibri" w:eastAsia="Calibri" w:hAnsi="Calibri" w:cs="Times New Roman"/>
          <w:b/>
          <w:i/>
          <w:kern w:val="0"/>
          <w:sz w:val="22"/>
          <w:szCs w:val="22"/>
          <w:lang w:eastAsia="en-US"/>
        </w:rPr>
        <w:t>mais non théorique</w:t>
      </w:r>
      <w:r w:rsidRPr="00723376">
        <w:rPr>
          <w:rFonts w:ascii="Calibri" w:eastAsia="Calibri" w:hAnsi="Calibri" w:cs="Times New Roman"/>
          <w:i/>
          <w:kern w:val="0"/>
          <w:sz w:val="22"/>
          <w:szCs w:val="22"/>
          <w:lang w:eastAsia="en-US"/>
        </w:rPr>
        <w:t>, que le demandeur peut retirer de la demande au moment où il la forme</w:t>
      </w:r>
      <w:r w:rsidRPr="00723376">
        <w:rPr>
          <w:rFonts w:ascii="Calibri" w:eastAsia="Calibri" w:hAnsi="Calibri" w:cs="Times New Roman"/>
          <w:kern w:val="0"/>
          <w:sz w:val="22"/>
          <w:szCs w:val="22"/>
          <w:lang w:eastAsia="en-US"/>
        </w:rPr>
        <w:t> »</w:t>
      </w:r>
      <w:r w:rsidRPr="00723376">
        <w:rPr>
          <w:rFonts w:ascii="Calibri" w:eastAsia="Calibri" w:hAnsi="Calibri" w:cs="Calibri"/>
          <w:bCs/>
          <w:color w:val="000000"/>
          <w:kern w:val="0"/>
          <w:sz w:val="22"/>
          <w:szCs w:val="22"/>
          <w:vertAlign w:val="superscript"/>
          <w:lang w:eastAsia="en-US"/>
        </w:rPr>
        <w:footnoteReference w:id="3"/>
      </w:r>
      <w:r w:rsidRPr="00723376">
        <w:rPr>
          <w:rFonts w:ascii="Calibri" w:eastAsia="Calibri" w:hAnsi="Calibri" w:cs="Times New Roman"/>
          <w:kern w:val="0"/>
          <w:sz w:val="22"/>
          <w:szCs w:val="22"/>
          <w:lang w:eastAsia="en-US"/>
        </w:rPr>
        <w:t xml:space="preserve"> (c’est le Tribunal qui met en évidence)</w:t>
      </w:r>
    </w:p>
    <w:p w14:paraId="00E5654A" w14:textId="77777777" w:rsidR="00723376" w:rsidRPr="00723376" w:rsidRDefault="00723376" w:rsidP="00FE2353">
      <w:pPr>
        <w:widowControl/>
        <w:autoSpaceDN/>
        <w:ind w:left="45"/>
        <w:jc w:val="both"/>
        <w:textAlignment w:val="auto"/>
        <w:rPr>
          <w:rFonts w:ascii="Calibri" w:eastAsia="Times New Roman" w:hAnsi="Calibri" w:cs="Calibri"/>
          <w:bCs/>
          <w:color w:val="000000"/>
          <w:kern w:val="0"/>
          <w:sz w:val="22"/>
          <w:szCs w:val="22"/>
          <w:lang w:val="fr-FR" w:eastAsia="en-US"/>
        </w:rPr>
      </w:pPr>
      <w:r w:rsidRPr="00723376">
        <w:rPr>
          <w:rFonts w:ascii="Calibri" w:eastAsia="Times New Roman" w:hAnsi="Calibri" w:cs="Calibri"/>
          <w:bCs/>
          <w:color w:val="000000"/>
          <w:kern w:val="0"/>
          <w:sz w:val="22"/>
          <w:szCs w:val="22"/>
          <w:lang w:eastAsia="en-US"/>
        </w:rPr>
        <w:t>Toutefois, l’intérêt à agir s’apprécie au jour de l’introduction de la demande</w:t>
      </w:r>
      <w:r w:rsidRPr="00723376">
        <w:rPr>
          <w:rFonts w:ascii="Calibri" w:eastAsia="Times New Roman" w:hAnsi="Calibri" w:cs="Calibri"/>
          <w:bCs/>
          <w:color w:val="000000"/>
          <w:kern w:val="0"/>
          <w:sz w:val="22"/>
          <w:szCs w:val="22"/>
          <w:vertAlign w:val="superscript"/>
          <w:lang w:eastAsia="en-US"/>
        </w:rPr>
        <w:footnoteReference w:id="4"/>
      </w:r>
      <w:r w:rsidRPr="00723376">
        <w:rPr>
          <w:rFonts w:ascii="Calibri" w:eastAsia="Times New Roman" w:hAnsi="Calibri" w:cs="Calibri"/>
          <w:bCs/>
          <w:color w:val="000000"/>
          <w:kern w:val="0"/>
          <w:sz w:val="22"/>
          <w:szCs w:val="22"/>
          <w:lang w:eastAsia="en-US"/>
        </w:rPr>
        <w:t xml:space="preserve">. Par conséquent, si une partie perd son intérêt à agir en cours d’instance, la demande n’est pas irrecevable pour défaut d’intérêt mais devient dépourvue </w:t>
      </w:r>
      <w:r w:rsidR="00FE2353" w:rsidRPr="00723376">
        <w:rPr>
          <w:rFonts w:ascii="Calibri" w:eastAsia="Times New Roman" w:hAnsi="Calibri" w:cs="Calibri"/>
          <w:bCs/>
          <w:color w:val="000000"/>
          <w:kern w:val="0"/>
          <w:sz w:val="22"/>
          <w:szCs w:val="22"/>
          <w:lang w:eastAsia="en-US"/>
        </w:rPr>
        <w:t>d’objet</w:t>
      </w:r>
      <w:r w:rsidRPr="00723376">
        <w:rPr>
          <w:rFonts w:ascii="Calibri" w:eastAsia="Times New Roman" w:hAnsi="Calibri" w:cs="Calibri"/>
          <w:bCs/>
          <w:color w:val="000000"/>
          <w:kern w:val="0"/>
          <w:sz w:val="22"/>
          <w:szCs w:val="22"/>
          <w:vertAlign w:val="superscript"/>
          <w:lang w:eastAsia="en-US"/>
        </w:rPr>
        <w:footnoteReference w:id="5"/>
      </w:r>
      <w:r w:rsidRPr="00723376">
        <w:rPr>
          <w:rFonts w:ascii="Calibri" w:eastAsia="Times New Roman" w:hAnsi="Calibri" w:cs="Calibri"/>
          <w:bCs/>
          <w:color w:val="000000"/>
          <w:kern w:val="0"/>
          <w:sz w:val="22"/>
          <w:szCs w:val="22"/>
          <w:lang w:eastAsia="en-US"/>
        </w:rPr>
        <w:t>.</w:t>
      </w:r>
    </w:p>
    <w:p w14:paraId="7B6B89BE" w14:textId="77777777" w:rsidR="00FE2353" w:rsidRDefault="00FE2353" w:rsidP="00FE2353">
      <w:pPr>
        <w:widowControl/>
        <w:suppressAutoHyphens w:val="0"/>
        <w:autoSpaceDN/>
        <w:jc w:val="both"/>
        <w:textAlignment w:val="auto"/>
        <w:rPr>
          <w:rFonts w:ascii="Calibri" w:eastAsia="Calibri" w:hAnsi="Calibri" w:cs="Times New Roman"/>
          <w:kern w:val="0"/>
          <w:sz w:val="22"/>
          <w:szCs w:val="22"/>
          <w:lang w:eastAsia="en-US"/>
        </w:rPr>
      </w:pPr>
    </w:p>
    <w:p w14:paraId="67903143" w14:textId="77777777" w:rsidR="00723376" w:rsidRDefault="00723376" w:rsidP="00FE2353">
      <w:pPr>
        <w:widowControl/>
        <w:suppressAutoHyphens w:val="0"/>
        <w:autoSpaceDN/>
        <w:jc w:val="both"/>
        <w:textAlignment w:val="auto"/>
        <w:rPr>
          <w:rFonts w:ascii="Calibri" w:eastAsia="Calibri" w:hAnsi="Calibri" w:cs="Times New Roman"/>
          <w:kern w:val="0"/>
          <w:sz w:val="22"/>
          <w:szCs w:val="22"/>
          <w:lang w:eastAsia="en-US"/>
        </w:rPr>
      </w:pPr>
      <w:r w:rsidRPr="00723376">
        <w:rPr>
          <w:rFonts w:ascii="Calibri" w:eastAsia="Calibri" w:hAnsi="Calibri" w:cs="Times New Roman"/>
          <w:kern w:val="0"/>
          <w:sz w:val="22"/>
          <w:szCs w:val="22"/>
          <w:lang w:eastAsia="en-US"/>
        </w:rPr>
        <w:t xml:space="preserve">Il faut donc constater que la demande dirigée contre LA </w:t>
      </w:r>
      <w:r w:rsidR="00BB19D1">
        <w:rPr>
          <w:rFonts w:ascii="Calibri" w:eastAsia="Calibri" w:hAnsi="Calibri" w:cs="Times New Roman"/>
          <w:kern w:val="0"/>
          <w:sz w:val="22"/>
          <w:szCs w:val="22"/>
          <w:lang w:eastAsia="en-US"/>
        </w:rPr>
        <w:t>Y</w:t>
      </w:r>
      <w:r w:rsidRPr="00723376">
        <w:rPr>
          <w:rFonts w:ascii="Calibri" w:eastAsia="Calibri" w:hAnsi="Calibri" w:cs="Times New Roman"/>
          <w:kern w:val="0"/>
          <w:sz w:val="22"/>
          <w:szCs w:val="22"/>
          <w:lang w:eastAsia="en-US"/>
        </w:rPr>
        <w:t>, qui était fondée, est devenue sans objet.</w:t>
      </w:r>
    </w:p>
    <w:p w14:paraId="21BECAA8" w14:textId="77777777" w:rsidR="00FE2353" w:rsidRPr="00723376" w:rsidRDefault="00FE2353" w:rsidP="00FE2353">
      <w:pPr>
        <w:widowControl/>
        <w:suppressAutoHyphens w:val="0"/>
        <w:autoSpaceDN/>
        <w:jc w:val="both"/>
        <w:textAlignment w:val="auto"/>
        <w:rPr>
          <w:rFonts w:ascii="Calibri" w:eastAsia="Calibri" w:hAnsi="Calibri" w:cs="Times New Roman"/>
          <w:kern w:val="0"/>
          <w:sz w:val="22"/>
          <w:szCs w:val="22"/>
          <w:lang w:eastAsia="en-US"/>
        </w:rPr>
      </w:pPr>
    </w:p>
    <w:p w14:paraId="2F71576A" w14:textId="77777777" w:rsidR="00723376" w:rsidRPr="00723376" w:rsidRDefault="00723376" w:rsidP="00FE2353">
      <w:pPr>
        <w:widowControl/>
        <w:suppressAutoHyphens w:val="0"/>
        <w:autoSpaceDN/>
        <w:spacing w:after="160"/>
        <w:jc w:val="both"/>
        <w:textAlignment w:val="auto"/>
        <w:rPr>
          <w:rFonts w:ascii="Calibri" w:eastAsia="Calibri" w:hAnsi="Calibri" w:cs="Times New Roman"/>
          <w:b/>
          <w:kern w:val="0"/>
          <w:sz w:val="22"/>
          <w:szCs w:val="22"/>
          <w:u w:val="double"/>
          <w:lang w:eastAsia="en-US"/>
        </w:rPr>
      </w:pPr>
      <w:r w:rsidRPr="00723376">
        <w:rPr>
          <w:rFonts w:ascii="Calibri" w:eastAsia="Calibri" w:hAnsi="Calibri" w:cs="Times New Roman"/>
          <w:b/>
          <w:kern w:val="0"/>
          <w:sz w:val="22"/>
          <w:szCs w:val="22"/>
          <w:u w:val="double"/>
          <w:lang w:eastAsia="en-US"/>
        </w:rPr>
        <w:t>DECISION DU TRIBUNAL</w:t>
      </w:r>
    </w:p>
    <w:p w14:paraId="2A3342D1" w14:textId="77777777" w:rsidR="00723376" w:rsidRPr="00723376" w:rsidRDefault="00723376" w:rsidP="00FE2353">
      <w:pPr>
        <w:widowControl/>
        <w:suppressAutoHyphens w:val="0"/>
        <w:autoSpaceDN/>
        <w:spacing w:after="160" w:line="259" w:lineRule="auto"/>
        <w:jc w:val="both"/>
        <w:textAlignment w:val="auto"/>
        <w:rPr>
          <w:rFonts w:ascii="Calibri" w:eastAsia="Calibri" w:hAnsi="Calibri" w:cs="Calibri"/>
          <w:kern w:val="0"/>
          <w:sz w:val="22"/>
          <w:szCs w:val="22"/>
          <w:lang w:val="fr-FR" w:eastAsia="en-US"/>
        </w:rPr>
      </w:pPr>
      <w:r w:rsidRPr="00723376">
        <w:rPr>
          <w:rFonts w:ascii="Calibri" w:eastAsia="Calibri" w:hAnsi="Calibri" w:cs="Calibri"/>
          <w:kern w:val="0"/>
          <w:sz w:val="22"/>
          <w:szCs w:val="22"/>
          <w:lang w:val="fr-FR" w:eastAsia="en-US"/>
        </w:rPr>
        <w:t>Le tribunal,  après en avoir délibéré ; </w:t>
      </w:r>
    </w:p>
    <w:p w14:paraId="0B972671" w14:textId="77777777" w:rsidR="00723376" w:rsidRPr="00723376" w:rsidRDefault="00723376" w:rsidP="00FE2353">
      <w:pPr>
        <w:widowControl/>
        <w:suppressAutoHyphens w:val="0"/>
        <w:autoSpaceDN/>
        <w:spacing w:after="160" w:line="259" w:lineRule="auto"/>
        <w:jc w:val="both"/>
        <w:textAlignment w:val="auto"/>
        <w:rPr>
          <w:rFonts w:ascii="Calibri" w:eastAsia="Calibri" w:hAnsi="Calibri" w:cs="Calibri"/>
          <w:kern w:val="0"/>
          <w:sz w:val="22"/>
          <w:szCs w:val="22"/>
          <w:lang w:val="fr-FR" w:eastAsia="en-US"/>
        </w:rPr>
      </w:pPr>
      <w:r w:rsidRPr="00723376">
        <w:rPr>
          <w:rFonts w:ascii="Calibri" w:eastAsia="Calibri" w:hAnsi="Calibri" w:cs="Calibri"/>
          <w:kern w:val="0"/>
          <w:sz w:val="22"/>
          <w:szCs w:val="22"/>
          <w:lang w:val="fr-FR" w:eastAsia="en-US"/>
        </w:rPr>
        <w:t>Statuant, publiquement et contradictoirement ;</w:t>
      </w:r>
    </w:p>
    <w:p w14:paraId="40AA80B6" w14:textId="77777777" w:rsidR="00723376" w:rsidRPr="00723376" w:rsidRDefault="00723376" w:rsidP="00FE2353">
      <w:pPr>
        <w:widowControl/>
        <w:suppressAutoHyphens w:val="0"/>
        <w:autoSpaceDN/>
        <w:spacing w:after="160" w:line="259" w:lineRule="auto"/>
        <w:jc w:val="both"/>
        <w:textAlignment w:val="auto"/>
        <w:rPr>
          <w:rFonts w:ascii="Calibri" w:eastAsia="Calibri" w:hAnsi="Calibri" w:cs="Calibri"/>
          <w:bCs/>
          <w:kern w:val="0"/>
          <w:sz w:val="22"/>
          <w:szCs w:val="22"/>
          <w:lang w:eastAsia="en-US"/>
        </w:rPr>
      </w:pPr>
      <w:r w:rsidRPr="00723376">
        <w:rPr>
          <w:rFonts w:ascii="Calibri" w:eastAsia="Calibri" w:hAnsi="Calibri" w:cs="Calibri"/>
          <w:bCs/>
          <w:kern w:val="0"/>
          <w:sz w:val="22"/>
          <w:szCs w:val="22"/>
          <w:lang w:eastAsia="en-US"/>
        </w:rPr>
        <w:lastRenderedPageBreak/>
        <w:t>Sur avis écrit en grade partie conforme de l’Auditorat du travail,</w:t>
      </w:r>
    </w:p>
    <w:p w14:paraId="6818A0C7" w14:textId="77777777" w:rsidR="00723376" w:rsidRPr="00723376" w:rsidRDefault="00723376" w:rsidP="00FE2353">
      <w:pPr>
        <w:widowControl/>
        <w:suppressAutoHyphens w:val="0"/>
        <w:autoSpaceDN/>
        <w:spacing w:after="160" w:line="259" w:lineRule="auto"/>
        <w:jc w:val="both"/>
        <w:textAlignment w:val="auto"/>
        <w:rPr>
          <w:rFonts w:ascii="Calibri" w:eastAsia="Calibri" w:hAnsi="Calibri" w:cs="Calibri"/>
          <w:bCs/>
          <w:kern w:val="0"/>
          <w:sz w:val="22"/>
          <w:szCs w:val="22"/>
          <w:u w:val="single"/>
          <w:lang w:eastAsia="en-US"/>
        </w:rPr>
      </w:pPr>
      <w:r w:rsidRPr="00723376">
        <w:rPr>
          <w:rFonts w:ascii="Calibri" w:eastAsia="Calibri" w:hAnsi="Calibri" w:cs="Calibri"/>
          <w:bCs/>
          <w:kern w:val="0"/>
          <w:sz w:val="22"/>
          <w:szCs w:val="22"/>
          <w:u w:val="single"/>
          <w:lang w:eastAsia="en-US"/>
        </w:rPr>
        <w:t xml:space="preserve">Sur la demande de Madame </w:t>
      </w:r>
      <w:r w:rsidR="00BB19D1">
        <w:rPr>
          <w:rFonts w:ascii="Calibri" w:eastAsia="Calibri" w:hAnsi="Calibri" w:cs="Calibri"/>
          <w:bCs/>
          <w:kern w:val="0"/>
          <w:sz w:val="22"/>
          <w:szCs w:val="22"/>
          <w:u w:val="single"/>
          <w:lang w:eastAsia="en-US"/>
        </w:rPr>
        <w:t>X</w:t>
      </w:r>
      <w:r w:rsidRPr="00723376">
        <w:rPr>
          <w:rFonts w:ascii="Calibri" w:eastAsia="Calibri" w:hAnsi="Calibri" w:cs="Calibri"/>
          <w:bCs/>
          <w:kern w:val="0"/>
          <w:sz w:val="22"/>
          <w:szCs w:val="22"/>
          <w:u w:val="single"/>
          <w:lang w:eastAsia="en-US"/>
        </w:rPr>
        <w:t xml:space="preserve"> à l’égard du FFE</w:t>
      </w:r>
    </w:p>
    <w:p w14:paraId="13DCEA42" w14:textId="77777777" w:rsidR="00723376" w:rsidRPr="00C11CD7" w:rsidRDefault="00723376" w:rsidP="00FE2353">
      <w:pPr>
        <w:suppressLineNumbers/>
        <w:tabs>
          <w:tab w:val="center" w:pos="4818"/>
          <w:tab w:val="right" w:pos="9637"/>
        </w:tabs>
        <w:jc w:val="both"/>
        <w:rPr>
          <w:rFonts w:ascii="Calibri" w:hAnsi="Calibri" w:cs="Calibri"/>
          <w:b/>
          <w:sz w:val="22"/>
          <w:szCs w:val="22"/>
        </w:rPr>
      </w:pPr>
      <w:r w:rsidRPr="00C11CD7">
        <w:rPr>
          <w:rFonts w:ascii="Calibri" w:hAnsi="Calibri" w:cs="Calibri"/>
          <w:b/>
          <w:sz w:val="22"/>
          <w:szCs w:val="22"/>
        </w:rPr>
        <w:t>Dit la demande recevable mais non fondée ;</w:t>
      </w:r>
    </w:p>
    <w:p w14:paraId="1D139209" w14:textId="77777777" w:rsidR="00723376" w:rsidRPr="00723376" w:rsidRDefault="00723376" w:rsidP="00FE2353">
      <w:pPr>
        <w:suppressLineNumbers/>
        <w:tabs>
          <w:tab w:val="center" w:pos="4818"/>
          <w:tab w:val="right" w:pos="9637"/>
        </w:tabs>
        <w:jc w:val="both"/>
        <w:rPr>
          <w:rFonts w:ascii="Calibri" w:hAnsi="Calibri" w:cs="Calibri"/>
          <w:sz w:val="22"/>
          <w:szCs w:val="22"/>
        </w:rPr>
      </w:pPr>
    </w:p>
    <w:p w14:paraId="12D6359E" w14:textId="77777777" w:rsidR="00723376" w:rsidRPr="00723376" w:rsidRDefault="00723376" w:rsidP="00FE2353">
      <w:pPr>
        <w:suppressLineNumbers/>
        <w:tabs>
          <w:tab w:val="center" w:pos="4818"/>
          <w:tab w:val="right" w:pos="9637"/>
        </w:tabs>
        <w:jc w:val="both"/>
        <w:rPr>
          <w:rFonts w:ascii="Calibri" w:hAnsi="Calibri" w:cs="Calibri"/>
          <w:sz w:val="22"/>
          <w:szCs w:val="22"/>
        </w:rPr>
      </w:pPr>
      <w:r w:rsidRPr="00723376">
        <w:rPr>
          <w:rFonts w:ascii="Calibri" w:hAnsi="Calibri" w:cs="Calibri"/>
          <w:sz w:val="22"/>
          <w:szCs w:val="22"/>
        </w:rPr>
        <w:t>Condamne le F.F.E. aux dépens, soit :</w:t>
      </w:r>
    </w:p>
    <w:p w14:paraId="3ED3B9C7" w14:textId="77777777" w:rsidR="00723376" w:rsidRPr="00723376" w:rsidRDefault="00723376" w:rsidP="00FE2353">
      <w:pPr>
        <w:suppressLineNumbers/>
        <w:tabs>
          <w:tab w:val="center" w:pos="4818"/>
          <w:tab w:val="right" w:pos="9637"/>
        </w:tabs>
        <w:jc w:val="both"/>
        <w:rPr>
          <w:rFonts w:ascii="Calibri" w:hAnsi="Calibri" w:cs="Calibri"/>
          <w:sz w:val="22"/>
          <w:szCs w:val="22"/>
        </w:rPr>
      </w:pPr>
    </w:p>
    <w:p w14:paraId="5B8AD6CA" w14:textId="77777777" w:rsidR="00723376" w:rsidRPr="00723376" w:rsidRDefault="00723376" w:rsidP="00FE2353">
      <w:pPr>
        <w:widowControl/>
        <w:numPr>
          <w:ilvl w:val="0"/>
          <w:numId w:val="9"/>
        </w:numPr>
        <w:suppressLineNumbers/>
        <w:tabs>
          <w:tab w:val="center" w:pos="4818"/>
          <w:tab w:val="right" w:pos="9637"/>
        </w:tabs>
        <w:suppressAutoHyphens w:val="0"/>
        <w:autoSpaceDN/>
        <w:spacing w:line="259" w:lineRule="auto"/>
        <w:jc w:val="both"/>
        <w:textAlignment w:val="auto"/>
        <w:rPr>
          <w:rFonts w:ascii="Calibri" w:hAnsi="Calibri" w:cs="Calibri"/>
          <w:snapToGrid w:val="0"/>
          <w:sz w:val="22"/>
          <w:szCs w:val="22"/>
          <w:lang w:eastAsia="fr-FR"/>
        </w:rPr>
      </w:pPr>
      <w:r w:rsidRPr="00723376">
        <w:rPr>
          <w:rFonts w:ascii="Calibri" w:hAnsi="Calibri" w:cs="Calibri"/>
          <w:sz w:val="22"/>
          <w:szCs w:val="22"/>
        </w:rPr>
        <w:t>la contribution au fonds budgétaire relatif à l’aide juridique de deuxième ligne : 20,00 €</w:t>
      </w:r>
    </w:p>
    <w:p w14:paraId="785EF8DE" w14:textId="77777777" w:rsidR="00723376" w:rsidRPr="00723376" w:rsidRDefault="00723376" w:rsidP="00FE2353">
      <w:pPr>
        <w:widowControl/>
        <w:numPr>
          <w:ilvl w:val="0"/>
          <w:numId w:val="9"/>
        </w:numPr>
        <w:suppressLineNumbers/>
        <w:tabs>
          <w:tab w:val="center" w:pos="4818"/>
          <w:tab w:val="right" w:pos="9637"/>
        </w:tabs>
        <w:suppressAutoHyphens w:val="0"/>
        <w:autoSpaceDN/>
        <w:spacing w:line="259" w:lineRule="auto"/>
        <w:jc w:val="both"/>
        <w:textAlignment w:val="auto"/>
        <w:rPr>
          <w:rFonts w:ascii="Calibri" w:hAnsi="Calibri" w:cs="Calibri"/>
          <w:snapToGrid w:val="0"/>
          <w:sz w:val="22"/>
          <w:szCs w:val="22"/>
          <w:lang w:eastAsia="fr-FR"/>
        </w:rPr>
      </w:pPr>
      <w:r w:rsidRPr="00723376">
        <w:rPr>
          <w:rFonts w:ascii="Calibri" w:hAnsi="Calibri" w:cs="Calibri"/>
          <w:sz w:val="22"/>
          <w:szCs w:val="22"/>
        </w:rPr>
        <w:t xml:space="preserve">l’indemnité de procédure en faveur de Madame </w:t>
      </w:r>
      <w:r w:rsidR="00BB19D1">
        <w:rPr>
          <w:rFonts w:ascii="Calibri" w:hAnsi="Calibri" w:cs="Calibri"/>
          <w:sz w:val="22"/>
          <w:szCs w:val="22"/>
        </w:rPr>
        <w:t>X</w:t>
      </w:r>
      <w:r w:rsidRPr="00723376">
        <w:rPr>
          <w:rFonts w:ascii="Calibri" w:hAnsi="Calibri" w:cs="Calibri"/>
          <w:sz w:val="22"/>
          <w:szCs w:val="22"/>
        </w:rPr>
        <w:t xml:space="preserve"> : 306,10 € (montant indexé)</w:t>
      </w:r>
      <w:r w:rsidR="00C11CD7">
        <w:rPr>
          <w:rFonts w:ascii="Calibri" w:hAnsi="Calibri" w:cs="Calibri"/>
          <w:sz w:val="22"/>
          <w:szCs w:val="22"/>
        </w:rPr>
        <w:t>.</w:t>
      </w:r>
    </w:p>
    <w:p w14:paraId="6E7E55A8" w14:textId="77777777" w:rsidR="00723376" w:rsidRPr="00723376" w:rsidRDefault="00723376" w:rsidP="00FE2353">
      <w:pPr>
        <w:suppressLineNumbers/>
        <w:tabs>
          <w:tab w:val="center" w:pos="4818"/>
          <w:tab w:val="right" w:pos="9637"/>
        </w:tabs>
        <w:jc w:val="both"/>
        <w:rPr>
          <w:rFonts w:ascii="Calibri" w:hAnsi="Calibri" w:cs="Calibri"/>
          <w:sz w:val="22"/>
          <w:szCs w:val="22"/>
        </w:rPr>
      </w:pPr>
    </w:p>
    <w:p w14:paraId="7FA8F55B" w14:textId="77777777" w:rsidR="00723376" w:rsidRPr="00723376" w:rsidRDefault="00723376" w:rsidP="00FE2353">
      <w:pPr>
        <w:suppressLineNumbers/>
        <w:tabs>
          <w:tab w:val="center" w:pos="4818"/>
          <w:tab w:val="right" w:pos="9637"/>
        </w:tabs>
        <w:jc w:val="both"/>
        <w:rPr>
          <w:rFonts w:ascii="Calibri" w:hAnsi="Calibri" w:cs="Calibri"/>
          <w:sz w:val="22"/>
          <w:szCs w:val="22"/>
          <w:u w:val="single"/>
        </w:rPr>
      </w:pPr>
      <w:r w:rsidRPr="00723376">
        <w:rPr>
          <w:rFonts w:ascii="Calibri" w:hAnsi="Calibri" w:cs="Calibri"/>
          <w:sz w:val="22"/>
          <w:szCs w:val="22"/>
          <w:u w:val="single"/>
        </w:rPr>
        <w:t xml:space="preserve">Sur la demande de Madame </w:t>
      </w:r>
      <w:r w:rsidR="00BB19D1">
        <w:rPr>
          <w:rFonts w:ascii="Calibri" w:hAnsi="Calibri" w:cs="Calibri"/>
          <w:sz w:val="22"/>
          <w:szCs w:val="22"/>
          <w:u w:val="single"/>
        </w:rPr>
        <w:t>X</w:t>
      </w:r>
      <w:r w:rsidRPr="00723376">
        <w:rPr>
          <w:rFonts w:ascii="Calibri" w:hAnsi="Calibri" w:cs="Calibri"/>
          <w:sz w:val="22"/>
          <w:szCs w:val="22"/>
          <w:u w:val="single"/>
        </w:rPr>
        <w:t xml:space="preserve"> à l’égard de la SRL LA </w:t>
      </w:r>
      <w:r w:rsidR="00BB19D1">
        <w:rPr>
          <w:rFonts w:ascii="Calibri" w:hAnsi="Calibri" w:cs="Calibri"/>
          <w:sz w:val="22"/>
          <w:szCs w:val="22"/>
          <w:u w:val="single"/>
        </w:rPr>
        <w:t>Y</w:t>
      </w:r>
    </w:p>
    <w:p w14:paraId="0FD9907C" w14:textId="77777777" w:rsidR="00723376" w:rsidRPr="00723376" w:rsidRDefault="00723376" w:rsidP="00FE2353">
      <w:pPr>
        <w:suppressLineNumbers/>
        <w:tabs>
          <w:tab w:val="center" w:pos="4818"/>
          <w:tab w:val="right" w:pos="9637"/>
        </w:tabs>
        <w:jc w:val="both"/>
        <w:rPr>
          <w:rFonts w:ascii="Calibri" w:hAnsi="Calibri" w:cs="Calibri"/>
          <w:sz w:val="22"/>
          <w:szCs w:val="22"/>
        </w:rPr>
      </w:pPr>
    </w:p>
    <w:p w14:paraId="2888923B" w14:textId="77777777" w:rsidR="00723376" w:rsidRPr="00C11CD7" w:rsidRDefault="00723376" w:rsidP="00FE2353">
      <w:pPr>
        <w:suppressLineNumbers/>
        <w:tabs>
          <w:tab w:val="center" w:pos="4818"/>
          <w:tab w:val="right" w:pos="9637"/>
        </w:tabs>
        <w:jc w:val="both"/>
        <w:rPr>
          <w:rFonts w:ascii="Calibri" w:hAnsi="Calibri" w:cs="Calibri"/>
          <w:b/>
          <w:sz w:val="22"/>
          <w:szCs w:val="22"/>
        </w:rPr>
      </w:pPr>
      <w:r w:rsidRPr="00C11CD7">
        <w:rPr>
          <w:rFonts w:ascii="Calibri" w:hAnsi="Calibri" w:cs="Calibri"/>
          <w:b/>
          <w:sz w:val="22"/>
          <w:szCs w:val="22"/>
        </w:rPr>
        <w:t xml:space="preserve">Dit la demande </w:t>
      </w:r>
      <w:r w:rsidR="00C11CD7">
        <w:rPr>
          <w:rFonts w:ascii="Calibri" w:hAnsi="Calibri" w:cs="Calibri"/>
          <w:b/>
          <w:sz w:val="22"/>
          <w:szCs w:val="22"/>
        </w:rPr>
        <w:t xml:space="preserve">recevable, </w:t>
      </w:r>
      <w:r w:rsidRPr="00C11CD7">
        <w:rPr>
          <w:rFonts w:ascii="Calibri" w:hAnsi="Calibri" w:cs="Calibri"/>
          <w:b/>
          <w:sz w:val="22"/>
          <w:szCs w:val="22"/>
        </w:rPr>
        <w:t>fondée mais devenue sans objet.</w:t>
      </w:r>
    </w:p>
    <w:p w14:paraId="1A5EA938" w14:textId="77777777" w:rsidR="00723376" w:rsidRPr="00723376" w:rsidRDefault="00723376" w:rsidP="00FE2353">
      <w:pPr>
        <w:suppressLineNumbers/>
        <w:tabs>
          <w:tab w:val="center" w:pos="4818"/>
          <w:tab w:val="right" w:pos="9637"/>
        </w:tabs>
        <w:jc w:val="both"/>
        <w:rPr>
          <w:rFonts w:ascii="Calibri" w:hAnsi="Calibri" w:cs="Calibri"/>
          <w:sz w:val="22"/>
          <w:szCs w:val="22"/>
        </w:rPr>
      </w:pPr>
    </w:p>
    <w:p w14:paraId="3C8E7D45" w14:textId="77777777" w:rsidR="00723376" w:rsidRPr="00723376" w:rsidRDefault="00723376" w:rsidP="00FE2353">
      <w:pPr>
        <w:suppressLineNumbers/>
        <w:tabs>
          <w:tab w:val="center" w:pos="4818"/>
          <w:tab w:val="right" w:pos="9637"/>
        </w:tabs>
        <w:jc w:val="both"/>
        <w:rPr>
          <w:rFonts w:ascii="Calibri" w:hAnsi="Calibri" w:cs="Calibri"/>
          <w:sz w:val="22"/>
          <w:szCs w:val="22"/>
        </w:rPr>
      </w:pPr>
      <w:r w:rsidRPr="00723376">
        <w:rPr>
          <w:rFonts w:ascii="Calibri" w:hAnsi="Calibri" w:cs="Calibri"/>
          <w:sz w:val="22"/>
          <w:szCs w:val="22"/>
        </w:rPr>
        <w:t>Dit qu’il y a lieu de compenser les dépens, chaque partie conservant ses propres dépens à sa charge. </w:t>
      </w:r>
    </w:p>
    <w:p w14:paraId="4168952F" w14:textId="77777777" w:rsidR="00723376" w:rsidRPr="00723376" w:rsidRDefault="00723376" w:rsidP="00FE2353">
      <w:pPr>
        <w:widowControl/>
        <w:suppressAutoHyphens w:val="0"/>
        <w:autoSpaceDN/>
        <w:spacing w:after="160" w:line="259" w:lineRule="auto"/>
        <w:jc w:val="both"/>
        <w:textAlignment w:val="auto"/>
        <w:rPr>
          <w:rFonts w:ascii="Calibri" w:eastAsia="Calibri" w:hAnsi="Calibri" w:cs="Calibri"/>
          <w:b/>
          <w:snapToGrid w:val="0"/>
          <w:kern w:val="0"/>
          <w:sz w:val="22"/>
          <w:szCs w:val="22"/>
          <w:highlight w:val="yellow"/>
          <w:lang w:eastAsia="fr-FR"/>
        </w:rPr>
      </w:pPr>
    </w:p>
    <w:p w14:paraId="64301319" w14:textId="77777777" w:rsidR="00142352" w:rsidRDefault="00142352" w:rsidP="00142352">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14:paraId="23599CEC" w14:textId="77777777" w:rsidR="00142352" w:rsidRDefault="00142352" w:rsidP="00142352">
      <w:pPr>
        <w:jc w:val="both"/>
        <w:rPr>
          <w:rFonts w:ascii="Calibri" w:hAnsi="Calibri" w:cs="Calibri"/>
          <w:snapToGrid w:val="0"/>
          <w:sz w:val="22"/>
          <w:szCs w:val="22"/>
          <w:lang w:val="fr-FR" w:eastAsia="fr-FR"/>
        </w:rPr>
      </w:pPr>
    </w:p>
    <w:p w14:paraId="3FE5C05C" w14:textId="77777777" w:rsidR="00142352" w:rsidRDefault="00142352" w:rsidP="00142352">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14:paraId="6C114CDB" w14:textId="77777777" w:rsidR="00142352" w:rsidRDefault="00142352" w:rsidP="00142352">
      <w:pPr>
        <w:spacing w:line="240" w:lineRule="atLeast"/>
        <w:ind w:right="1"/>
        <w:jc w:val="both"/>
        <w:rPr>
          <w:rFonts w:ascii="Calibri" w:hAnsi="Calibri" w:cs="Calibri"/>
          <w:sz w:val="22"/>
          <w:szCs w:val="22"/>
          <w:lang w:val="fr-FR"/>
        </w:rPr>
      </w:pPr>
      <w:r>
        <w:rPr>
          <w:rFonts w:ascii="Calibri" w:hAnsi="Calibri" w:cs="Calibri"/>
          <w:sz w:val="22"/>
          <w:szCs w:val="22"/>
          <w:lang w:val="fr-FR"/>
        </w:rPr>
        <w:t xml:space="preserve">Olivier KELLENS, </w:t>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Juge social à titre d’employeur</w:t>
      </w:r>
    </w:p>
    <w:p w14:paraId="6EBE59AD" w14:textId="77777777" w:rsidR="00142352" w:rsidRDefault="00142352" w:rsidP="00142352">
      <w:pPr>
        <w:spacing w:line="240" w:lineRule="atLeast"/>
        <w:ind w:right="1"/>
        <w:jc w:val="both"/>
        <w:rPr>
          <w:rFonts w:ascii="Calibri" w:hAnsi="Calibri" w:cs="Calibri"/>
          <w:sz w:val="22"/>
          <w:szCs w:val="22"/>
          <w:lang w:val="fr-FR"/>
        </w:rPr>
      </w:pPr>
      <w:r>
        <w:rPr>
          <w:rFonts w:ascii="Calibri" w:hAnsi="Calibri" w:cs="Calibri"/>
          <w:sz w:val="22"/>
          <w:szCs w:val="22"/>
          <w:lang w:val="fr-FR"/>
        </w:rPr>
        <w:t>Juan-Fernando FERNANDEZ CUNA</w:t>
      </w:r>
      <w:r>
        <w:rPr>
          <w:rFonts w:ascii="Calibri" w:hAnsi="Calibri" w:cs="Calibri"/>
          <w:sz w:val="22"/>
          <w:szCs w:val="22"/>
          <w:lang w:val="fr-FR"/>
        </w:rPr>
        <w:tab/>
        <w:t>Juge social à titre d’ouvrier</w:t>
      </w:r>
    </w:p>
    <w:p w14:paraId="17834640" w14:textId="77777777" w:rsidR="00142352" w:rsidRDefault="00142352" w:rsidP="00142352">
      <w:pPr>
        <w:spacing w:line="240" w:lineRule="atLeast"/>
        <w:ind w:right="1"/>
        <w:jc w:val="both"/>
        <w:rPr>
          <w:rFonts w:ascii="Calibri" w:hAnsi="Calibri" w:cs="Calibri"/>
          <w:sz w:val="22"/>
          <w:szCs w:val="22"/>
          <w:lang w:val="fr-FR"/>
        </w:rPr>
      </w:pPr>
    </w:p>
    <w:p w14:paraId="222AB73B" w14:textId="77777777" w:rsidR="00142352" w:rsidRDefault="00142352" w:rsidP="00142352">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5BC40BD4" w14:textId="77777777" w:rsidR="00142352" w:rsidRDefault="00142352" w:rsidP="00142352">
      <w:pPr>
        <w:jc w:val="both"/>
        <w:rPr>
          <w:rFonts w:ascii="Calibri" w:hAnsi="Calibri" w:cs="Calibri"/>
          <w:snapToGrid w:val="0"/>
          <w:sz w:val="22"/>
          <w:szCs w:val="22"/>
          <w:lang w:eastAsia="fr-FR"/>
        </w:rPr>
      </w:pPr>
    </w:p>
    <w:p w14:paraId="0B06A31A" w14:textId="77777777" w:rsidR="00142352" w:rsidRDefault="00142352" w:rsidP="00142352">
      <w:pPr>
        <w:jc w:val="both"/>
        <w:rPr>
          <w:rFonts w:ascii="Calibri" w:hAnsi="Calibri" w:cs="Calibri"/>
          <w:snapToGrid w:val="0"/>
          <w:sz w:val="22"/>
          <w:szCs w:val="22"/>
          <w:lang w:eastAsia="fr-FR"/>
        </w:rPr>
      </w:pPr>
    </w:p>
    <w:p w14:paraId="18ABE32E" w14:textId="77777777" w:rsidR="00142352" w:rsidRDefault="00142352" w:rsidP="00142352">
      <w:pPr>
        <w:jc w:val="both"/>
        <w:rPr>
          <w:rFonts w:ascii="Calibri" w:hAnsi="Calibri" w:cs="Calibri"/>
          <w:snapToGrid w:val="0"/>
          <w:sz w:val="22"/>
          <w:szCs w:val="22"/>
          <w:lang w:eastAsia="fr-FR"/>
        </w:rPr>
      </w:pPr>
    </w:p>
    <w:p w14:paraId="1537212C" w14:textId="77777777" w:rsidR="00142352" w:rsidRDefault="00142352" w:rsidP="00142352">
      <w:pPr>
        <w:jc w:val="both"/>
        <w:rPr>
          <w:rFonts w:ascii="Calibri" w:hAnsi="Calibri" w:cs="Calibri"/>
          <w:snapToGrid w:val="0"/>
          <w:sz w:val="22"/>
          <w:szCs w:val="22"/>
          <w:lang w:eastAsia="fr-FR"/>
        </w:rPr>
      </w:pPr>
    </w:p>
    <w:p w14:paraId="7F005711" w14:textId="77777777" w:rsidR="00142352" w:rsidRDefault="00142352" w:rsidP="00142352">
      <w:pPr>
        <w:jc w:val="both"/>
        <w:rPr>
          <w:rFonts w:ascii="Calibri" w:hAnsi="Calibri" w:cs="Calibri"/>
          <w:snapToGrid w:val="0"/>
          <w:sz w:val="22"/>
          <w:szCs w:val="22"/>
          <w:lang w:eastAsia="fr-FR"/>
        </w:rPr>
      </w:pPr>
    </w:p>
    <w:p w14:paraId="4B192F52" w14:textId="77777777" w:rsidR="00142352" w:rsidRDefault="00142352" w:rsidP="00142352">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14:paraId="20393847" w14:textId="77777777" w:rsidR="00142352" w:rsidRDefault="00142352" w:rsidP="00142352">
      <w:pPr>
        <w:jc w:val="both"/>
        <w:rPr>
          <w:rFonts w:ascii="Calibri" w:hAnsi="Calibri" w:cs="Calibri"/>
          <w:snapToGrid w:val="0"/>
          <w:sz w:val="22"/>
          <w:szCs w:val="22"/>
          <w:lang w:eastAsia="fr-FR"/>
        </w:rPr>
      </w:pPr>
    </w:p>
    <w:p w14:paraId="4E30CD50" w14:textId="77777777" w:rsidR="00142352" w:rsidRDefault="00142352" w:rsidP="00142352">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LUNDI DIX OCTOBRE DEUX MILLE VINGT-DEUX</w:t>
      </w:r>
    </w:p>
    <w:p w14:paraId="414167E1" w14:textId="77777777" w:rsidR="00142352" w:rsidRDefault="00142352" w:rsidP="00142352">
      <w:pPr>
        <w:jc w:val="both"/>
        <w:rPr>
          <w:rFonts w:ascii="Calibri" w:hAnsi="Calibri" w:cs="Calibri"/>
          <w:snapToGrid w:val="0"/>
          <w:sz w:val="22"/>
          <w:szCs w:val="22"/>
          <w:lang w:eastAsia="fr-FR"/>
        </w:rPr>
      </w:pPr>
    </w:p>
    <w:p w14:paraId="053AF936" w14:textId="77777777" w:rsidR="00142352" w:rsidRDefault="00142352" w:rsidP="00142352">
      <w:pPr>
        <w:jc w:val="both"/>
        <w:rPr>
          <w:rFonts w:ascii="Calibri" w:hAnsi="Calibri" w:cs="Calibri"/>
          <w:snapToGrid w:val="0"/>
          <w:sz w:val="22"/>
          <w:szCs w:val="22"/>
          <w:lang w:eastAsia="fr-FR"/>
        </w:rPr>
      </w:pPr>
      <w:r>
        <w:rPr>
          <w:rFonts w:ascii="Calibri" w:hAnsi="Calibri" w:cs="Calibri"/>
          <w:snapToGrid w:val="0"/>
          <w:sz w:val="22"/>
          <w:szCs w:val="22"/>
          <w:lang w:eastAsia="fr-FR"/>
        </w:rPr>
        <w:t>par St. BAR, Président de la chambre,</w:t>
      </w:r>
    </w:p>
    <w:p w14:paraId="42773142" w14:textId="77777777" w:rsidR="00142352" w:rsidRDefault="00142352" w:rsidP="00142352">
      <w:pPr>
        <w:jc w:val="both"/>
        <w:rPr>
          <w:rFonts w:ascii="Calibri" w:hAnsi="Calibri" w:cs="Calibri"/>
          <w:sz w:val="22"/>
          <w:szCs w:val="22"/>
        </w:rPr>
      </w:pPr>
      <w:r>
        <w:rPr>
          <w:rFonts w:ascii="Calibri" w:hAnsi="Calibri" w:cs="Calibri"/>
          <w:snapToGrid w:val="0"/>
          <w:sz w:val="22"/>
          <w:szCs w:val="22"/>
          <w:lang w:eastAsia="fr-FR"/>
        </w:rPr>
        <w:t xml:space="preserve">assisté de C. FAUVILLE, </w:t>
      </w:r>
      <w:r>
        <w:rPr>
          <w:rFonts w:ascii="Calibri" w:hAnsi="Calibri" w:cs="Calibri"/>
          <w:sz w:val="22"/>
          <w:szCs w:val="22"/>
        </w:rPr>
        <w:t>Collaboratrice, Greffier assumé en application de l’article 329 du code judiciaire.</w:t>
      </w:r>
    </w:p>
    <w:p w14:paraId="71A983FF" w14:textId="77777777" w:rsidR="00142352" w:rsidRDefault="00142352" w:rsidP="00142352">
      <w:pPr>
        <w:jc w:val="both"/>
        <w:rPr>
          <w:rFonts w:ascii="Calibri" w:hAnsi="Calibri" w:cs="Calibri"/>
          <w:snapToGrid w:val="0"/>
          <w:sz w:val="22"/>
          <w:szCs w:val="22"/>
          <w:lang w:eastAsia="fr-FR"/>
        </w:rPr>
      </w:pPr>
    </w:p>
    <w:p w14:paraId="0F39B15F" w14:textId="77777777" w:rsidR="00142352" w:rsidRDefault="00142352" w:rsidP="00142352">
      <w:pPr>
        <w:jc w:val="both"/>
        <w:rPr>
          <w:rFonts w:asciiTheme="minorHAnsi" w:hAnsiTheme="minorHAnsi" w:cstheme="minorHAnsi"/>
          <w:b/>
          <w:u w:val="single"/>
          <w:lang w:val="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335633FF" w14:textId="77777777" w:rsidR="00142352" w:rsidRDefault="00142352" w:rsidP="00142352">
      <w:pPr>
        <w:pStyle w:val="Textebrut"/>
        <w:rPr>
          <w:rFonts w:asciiTheme="minorHAnsi" w:hAnsiTheme="minorHAnsi" w:cstheme="minorHAnsi"/>
          <w:snapToGrid w:val="0"/>
          <w:sz w:val="22"/>
          <w:szCs w:val="22"/>
          <w:lang w:eastAsia="fr-FR"/>
        </w:rPr>
      </w:pPr>
    </w:p>
    <w:sectPr w:rsidR="00142352"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F235" w14:textId="77777777" w:rsidR="00FA456C" w:rsidRDefault="00FA456C">
      <w:r>
        <w:separator/>
      </w:r>
    </w:p>
  </w:endnote>
  <w:endnote w:type="continuationSeparator" w:id="0">
    <w:p w14:paraId="4AE68575" w14:textId="77777777" w:rsidR="00FA456C" w:rsidRDefault="00FA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7C36" w14:textId="77777777" w:rsidR="00FA456C" w:rsidRDefault="00FA456C">
      <w:r>
        <w:separator/>
      </w:r>
    </w:p>
  </w:footnote>
  <w:footnote w:type="continuationSeparator" w:id="0">
    <w:p w14:paraId="7A02DA74" w14:textId="77777777" w:rsidR="00FA456C" w:rsidRDefault="00FA456C">
      <w:r>
        <w:continuationSeparator/>
      </w:r>
    </w:p>
  </w:footnote>
  <w:footnote w:id="1">
    <w:p w14:paraId="13A43605" w14:textId="77777777" w:rsidR="00FA456C" w:rsidRPr="00DE062A" w:rsidRDefault="00FA456C" w:rsidP="00723376">
      <w:pPr>
        <w:pStyle w:val="Notedebasdepage"/>
        <w:rPr>
          <w:rFonts w:asciiTheme="minorHAnsi" w:hAnsiTheme="minorHAnsi" w:cstheme="minorHAnsi"/>
          <w:sz w:val="18"/>
          <w:szCs w:val="18"/>
        </w:rPr>
      </w:pPr>
      <w:r w:rsidRPr="00DE062A">
        <w:rPr>
          <w:rStyle w:val="Appelnotedebasdep"/>
          <w:rFonts w:asciiTheme="minorHAnsi" w:hAnsiTheme="minorHAnsi" w:cstheme="minorHAnsi"/>
          <w:sz w:val="18"/>
          <w:szCs w:val="18"/>
        </w:rPr>
        <w:footnoteRef/>
      </w:r>
      <w:r w:rsidRPr="00DE062A">
        <w:rPr>
          <w:rFonts w:asciiTheme="minorHAnsi" w:hAnsiTheme="minorHAnsi" w:cstheme="minorHAnsi"/>
          <w:sz w:val="18"/>
          <w:szCs w:val="18"/>
        </w:rPr>
        <w:t xml:space="preserve"> Voy. J-Ph CORDIER, «  La reprise d’actif après faillite », </w:t>
      </w:r>
      <w:r w:rsidRPr="00DE062A">
        <w:rPr>
          <w:rFonts w:asciiTheme="minorHAnsi" w:hAnsiTheme="minorHAnsi" w:cstheme="minorHAnsi"/>
          <w:i/>
          <w:sz w:val="18"/>
          <w:szCs w:val="18"/>
        </w:rPr>
        <w:t>in La cession d’entreprise : les aspects sociaux »</w:t>
      </w:r>
      <w:r w:rsidRPr="00DE062A">
        <w:rPr>
          <w:rFonts w:asciiTheme="minorHAnsi" w:hAnsiTheme="minorHAnsi" w:cstheme="minorHAnsi"/>
          <w:sz w:val="18"/>
          <w:szCs w:val="18"/>
        </w:rPr>
        <w:t>, Larcier, 2011, p.254-256.</w:t>
      </w:r>
    </w:p>
  </w:footnote>
  <w:footnote w:id="2">
    <w:p w14:paraId="1DB9133E" w14:textId="77777777" w:rsidR="00FA456C" w:rsidRPr="00DE062A" w:rsidRDefault="00FA456C" w:rsidP="00723376">
      <w:pPr>
        <w:pStyle w:val="Notedebasdepage"/>
        <w:rPr>
          <w:rFonts w:asciiTheme="minorHAnsi" w:hAnsiTheme="minorHAnsi" w:cstheme="minorHAnsi"/>
          <w:sz w:val="18"/>
          <w:szCs w:val="18"/>
        </w:rPr>
      </w:pPr>
      <w:r w:rsidRPr="00DE062A">
        <w:rPr>
          <w:rStyle w:val="Appelnotedebasdep"/>
          <w:rFonts w:asciiTheme="minorHAnsi" w:hAnsiTheme="minorHAnsi" w:cstheme="minorHAnsi"/>
          <w:sz w:val="18"/>
          <w:szCs w:val="18"/>
        </w:rPr>
        <w:footnoteRef/>
      </w:r>
      <w:r w:rsidRPr="00DE062A">
        <w:rPr>
          <w:rFonts w:asciiTheme="minorHAnsi" w:hAnsiTheme="minorHAnsi" w:cstheme="minorHAnsi"/>
          <w:sz w:val="18"/>
          <w:szCs w:val="18"/>
        </w:rPr>
        <w:t xml:space="preserve"> </w:t>
      </w:r>
      <w:r w:rsidRPr="00DE062A">
        <w:rPr>
          <w:rFonts w:asciiTheme="minorHAnsi" w:hAnsiTheme="minorHAnsi" w:cstheme="minorHAnsi"/>
          <w:sz w:val="18"/>
          <w:szCs w:val="18"/>
        </w:rPr>
        <w:t>Cass., 5 mai 1997, S960086F, disponible sur www.juportal.be.</w:t>
      </w:r>
    </w:p>
  </w:footnote>
  <w:footnote w:id="3">
    <w:p w14:paraId="6023F88E" w14:textId="77777777" w:rsidR="00FA456C" w:rsidRPr="00FE2353" w:rsidRDefault="00FA456C" w:rsidP="00723376">
      <w:pPr>
        <w:pStyle w:val="Notedebasdepage"/>
        <w:rPr>
          <w:rFonts w:asciiTheme="minorHAnsi" w:hAnsiTheme="minorHAnsi" w:cstheme="minorHAnsi"/>
          <w:sz w:val="18"/>
          <w:szCs w:val="18"/>
        </w:rPr>
      </w:pPr>
      <w:r w:rsidRPr="00FE2353">
        <w:rPr>
          <w:rStyle w:val="Appelnotedebasdep"/>
          <w:rFonts w:asciiTheme="minorHAnsi" w:hAnsiTheme="minorHAnsi" w:cstheme="minorHAnsi"/>
          <w:sz w:val="18"/>
          <w:szCs w:val="18"/>
        </w:rPr>
        <w:footnoteRef/>
      </w:r>
      <w:r w:rsidRPr="00FE2353">
        <w:rPr>
          <w:rFonts w:asciiTheme="minorHAnsi" w:hAnsiTheme="minorHAnsi" w:cstheme="minorHAnsi"/>
          <w:sz w:val="18"/>
          <w:szCs w:val="18"/>
        </w:rPr>
        <w:t xml:space="preserve"> D. MOUGENOT, </w:t>
      </w:r>
      <w:r w:rsidRPr="00FE2353">
        <w:rPr>
          <w:rFonts w:asciiTheme="minorHAnsi" w:hAnsiTheme="minorHAnsi" w:cstheme="minorHAnsi"/>
          <w:i/>
          <w:sz w:val="18"/>
          <w:szCs w:val="18"/>
        </w:rPr>
        <w:t>Principes de droit judiciaire privé</w:t>
      </w:r>
      <w:r w:rsidRPr="00FE2353">
        <w:rPr>
          <w:rFonts w:asciiTheme="minorHAnsi" w:hAnsiTheme="minorHAnsi" w:cstheme="minorHAnsi"/>
          <w:sz w:val="18"/>
          <w:szCs w:val="18"/>
        </w:rPr>
        <w:t xml:space="preserve">, Tiré à part du répertoire notarial, 2è édition, </w:t>
      </w:r>
      <w:r w:rsidRPr="00FE2353">
        <w:rPr>
          <w:rFonts w:asciiTheme="minorHAnsi" w:hAnsiTheme="minorHAnsi" w:cstheme="minorHAnsi"/>
          <w:sz w:val="18"/>
          <w:szCs w:val="18"/>
        </w:rPr>
        <w:t>Larcier, 2020, p. 102.</w:t>
      </w:r>
    </w:p>
  </w:footnote>
  <w:footnote w:id="4">
    <w:p w14:paraId="5F0340EB" w14:textId="77777777" w:rsidR="00FA456C" w:rsidRPr="00FE2353" w:rsidRDefault="00FA456C" w:rsidP="00723376">
      <w:pPr>
        <w:pStyle w:val="Notedebasdepage"/>
        <w:rPr>
          <w:rFonts w:asciiTheme="minorHAnsi" w:hAnsiTheme="minorHAnsi" w:cstheme="minorHAnsi"/>
          <w:sz w:val="18"/>
          <w:szCs w:val="18"/>
        </w:rPr>
      </w:pPr>
      <w:r w:rsidRPr="00FE2353">
        <w:rPr>
          <w:rStyle w:val="Appelnotedebasdep"/>
          <w:rFonts w:asciiTheme="minorHAnsi" w:hAnsiTheme="minorHAnsi" w:cstheme="minorHAnsi"/>
          <w:sz w:val="18"/>
          <w:szCs w:val="18"/>
        </w:rPr>
        <w:footnoteRef/>
      </w:r>
      <w:r w:rsidRPr="00FE2353">
        <w:rPr>
          <w:rFonts w:asciiTheme="minorHAnsi" w:hAnsiTheme="minorHAnsi" w:cstheme="minorHAnsi"/>
          <w:sz w:val="18"/>
          <w:szCs w:val="18"/>
        </w:rPr>
        <w:t xml:space="preserve"> </w:t>
      </w:r>
      <w:r w:rsidRPr="00FE2353">
        <w:rPr>
          <w:rFonts w:asciiTheme="minorHAnsi" w:hAnsiTheme="minorHAnsi" w:cstheme="minorHAnsi"/>
          <w:sz w:val="18"/>
          <w:szCs w:val="18"/>
        </w:rPr>
        <w:t>Cass., 24 avril 2003, Pas., 2003, p. 584</w:t>
      </w:r>
    </w:p>
  </w:footnote>
  <w:footnote w:id="5">
    <w:p w14:paraId="1ADE4F57" w14:textId="77777777" w:rsidR="00FA456C" w:rsidRPr="00FE2353" w:rsidRDefault="00FA456C" w:rsidP="00723376">
      <w:pPr>
        <w:pStyle w:val="Notedebasdepage"/>
        <w:rPr>
          <w:rFonts w:asciiTheme="minorHAnsi" w:hAnsiTheme="minorHAnsi" w:cstheme="minorHAnsi"/>
          <w:sz w:val="18"/>
          <w:szCs w:val="18"/>
        </w:rPr>
      </w:pPr>
      <w:r w:rsidRPr="00FE2353">
        <w:rPr>
          <w:rStyle w:val="Appelnotedebasdep"/>
          <w:rFonts w:asciiTheme="minorHAnsi" w:hAnsiTheme="minorHAnsi" w:cstheme="minorHAnsi"/>
          <w:sz w:val="18"/>
          <w:szCs w:val="18"/>
        </w:rPr>
        <w:footnoteRef/>
      </w:r>
      <w:r w:rsidRPr="00FE2353">
        <w:rPr>
          <w:rFonts w:asciiTheme="minorHAnsi" w:hAnsiTheme="minorHAnsi" w:cstheme="minorHAnsi"/>
          <w:sz w:val="18"/>
          <w:szCs w:val="18"/>
        </w:rPr>
        <w:t xml:space="preserve"> H. BOULARBAH, </w:t>
      </w:r>
      <w:r w:rsidRPr="00FE2353">
        <w:rPr>
          <w:rFonts w:asciiTheme="minorHAnsi" w:hAnsiTheme="minorHAnsi" w:cstheme="minorHAnsi"/>
          <w:i/>
          <w:sz w:val="18"/>
          <w:szCs w:val="18"/>
        </w:rPr>
        <w:t>Droit du procès civil</w:t>
      </w:r>
      <w:r w:rsidRPr="00FE2353">
        <w:rPr>
          <w:rFonts w:asciiTheme="minorHAnsi" w:hAnsiTheme="minorHAnsi" w:cstheme="minorHAnsi"/>
          <w:sz w:val="18"/>
          <w:szCs w:val="18"/>
        </w:rPr>
        <w:t>, 2018-2019, t. I, n°151, pp. 51-52.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FA456C" w:rsidRPr="00E92C6E" w14:paraId="1EE8E9B2" w14:textId="77777777">
      <w:tc>
        <w:tcPr>
          <w:tcW w:w="3200" w:type="dxa"/>
          <w:tcMar>
            <w:top w:w="55" w:type="dxa"/>
            <w:left w:w="55" w:type="dxa"/>
            <w:bottom w:w="55" w:type="dxa"/>
            <w:right w:w="55" w:type="dxa"/>
          </w:tcMar>
        </w:tcPr>
        <w:p w14:paraId="34DBA63E" w14:textId="77777777" w:rsidR="00FA456C" w:rsidRPr="00E92C6E" w:rsidRDefault="00FA456C">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 885/ A</w:t>
          </w:r>
        </w:p>
      </w:tc>
      <w:tc>
        <w:tcPr>
          <w:tcW w:w="3200" w:type="dxa"/>
          <w:tcMar>
            <w:top w:w="55" w:type="dxa"/>
            <w:left w:w="55" w:type="dxa"/>
            <w:bottom w:w="55" w:type="dxa"/>
            <w:right w:w="55" w:type="dxa"/>
          </w:tcMar>
        </w:tcPr>
        <w:p w14:paraId="69855BE2" w14:textId="77777777" w:rsidR="00FA456C" w:rsidRPr="00852979" w:rsidRDefault="00FA456C">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p>
      </w:tc>
      <w:tc>
        <w:tcPr>
          <w:tcW w:w="3200" w:type="dxa"/>
          <w:tcMar>
            <w:top w:w="55" w:type="dxa"/>
            <w:left w:w="55" w:type="dxa"/>
            <w:bottom w:w="55" w:type="dxa"/>
            <w:right w:w="55" w:type="dxa"/>
          </w:tcMar>
        </w:tcPr>
        <w:p w14:paraId="3C22D241" w14:textId="77777777" w:rsidR="00FA456C" w:rsidRPr="00E92C6E" w:rsidRDefault="00FA456C"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BB19D1">
            <w:rPr>
              <w:rFonts w:asciiTheme="minorHAnsi" w:hAnsiTheme="minorHAnsi" w:cstheme="minorHAnsi"/>
              <w:b/>
              <w:bCs/>
              <w:noProof/>
              <w:sz w:val="22"/>
              <w:szCs w:val="22"/>
            </w:rPr>
            <w:t>9</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BB19D1">
            <w:rPr>
              <w:rFonts w:asciiTheme="minorHAnsi" w:hAnsiTheme="minorHAnsi" w:cstheme="minorHAnsi"/>
              <w:b/>
              <w:bCs/>
              <w:noProof/>
              <w:sz w:val="22"/>
              <w:szCs w:val="22"/>
            </w:rPr>
            <w:t>11</w:t>
          </w:r>
          <w:r>
            <w:rPr>
              <w:rFonts w:asciiTheme="minorHAnsi" w:hAnsiTheme="minorHAnsi" w:cstheme="minorHAnsi"/>
              <w:b/>
              <w:bCs/>
              <w:sz w:val="22"/>
              <w:szCs w:val="22"/>
            </w:rPr>
            <w:fldChar w:fldCharType="end"/>
          </w:r>
        </w:p>
      </w:tc>
    </w:tr>
  </w:tbl>
  <w:p w14:paraId="685A2296" w14:textId="77777777" w:rsidR="00FA456C" w:rsidRDefault="00FA456C">
    <w:pPr>
      <w:pStyle w:val="En-tte"/>
      <w:pBdr>
        <w:bottom w:val="single" w:sz="6" w:space="1" w:color="auto"/>
      </w:pBdr>
    </w:pPr>
  </w:p>
  <w:p w14:paraId="64EDB4EC" w14:textId="77777777" w:rsidR="00FA456C" w:rsidRDefault="00FA45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FA456C" w:rsidRPr="005644A1" w14:paraId="4F59C576" w14:textId="77777777" w:rsidTr="00BA5B90">
      <w:tc>
        <w:tcPr>
          <w:tcW w:w="3200" w:type="dxa"/>
          <w:tcMar>
            <w:top w:w="55" w:type="dxa"/>
            <w:left w:w="55" w:type="dxa"/>
            <w:bottom w:w="55" w:type="dxa"/>
            <w:right w:w="55" w:type="dxa"/>
          </w:tcMar>
        </w:tcPr>
        <w:p w14:paraId="30C694FE" w14:textId="77777777" w:rsidR="00FA456C" w:rsidRPr="005644A1" w:rsidRDefault="00FA456C" w:rsidP="004A669F">
          <w:pPr>
            <w:pStyle w:val="En-tte"/>
            <w:rPr>
              <w:rFonts w:ascii="Calibri" w:hAnsi="Calibri" w:cs="Calibri"/>
              <w:b/>
              <w:bCs/>
              <w:sz w:val="22"/>
              <w:szCs w:val="22"/>
              <w:lang w:val="nl-BE"/>
            </w:rPr>
          </w:pPr>
          <w:r w:rsidRPr="005644A1">
            <w:rPr>
              <w:rFonts w:ascii="Calibri" w:hAnsi="Calibri" w:cs="Calibri"/>
              <w:b/>
              <w:bCs/>
              <w:sz w:val="22"/>
              <w:szCs w:val="22"/>
              <w:lang w:val="nl-BE"/>
            </w:rPr>
            <w:t>R.G. : 21/ 885/ A</w:t>
          </w:r>
        </w:p>
      </w:tc>
      <w:tc>
        <w:tcPr>
          <w:tcW w:w="3200" w:type="dxa"/>
          <w:tcMar>
            <w:top w:w="55" w:type="dxa"/>
            <w:left w:w="55" w:type="dxa"/>
            <w:bottom w:w="55" w:type="dxa"/>
            <w:right w:w="55" w:type="dxa"/>
          </w:tcMar>
        </w:tcPr>
        <w:p w14:paraId="4D4E9D1A" w14:textId="77777777" w:rsidR="00FA456C" w:rsidRPr="005644A1" w:rsidRDefault="00FA456C"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5BEDDD90" w14:textId="77777777" w:rsidR="00FA456C" w:rsidRPr="005644A1" w:rsidRDefault="00FA456C"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14:paraId="41F92C24" w14:textId="77777777" w:rsidR="00FA456C" w:rsidRDefault="00FA45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BD74D7"/>
    <w:multiLevelType w:val="hybridMultilevel"/>
    <w:tmpl w:val="826AAF5E"/>
    <w:lvl w:ilvl="0" w:tplc="07BAC2FA">
      <w:start w:val="1"/>
      <w:numFmt w:val="decimal"/>
      <w:lvlText w:val="%1."/>
      <w:lvlJc w:val="left"/>
      <w:pPr>
        <w:ind w:left="765" w:hanging="360"/>
      </w:pPr>
      <w:rPr>
        <w:rFonts w:hint="default"/>
      </w:r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3" w15:restartNumberingAfterBreak="0">
    <w:nsid w:val="1E2E722E"/>
    <w:multiLevelType w:val="hybridMultilevel"/>
    <w:tmpl w:val="7B6C7B14"/>
    <w:lvl w:ilvl="0" w:tplc="797AD2A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30917C6"/>
    <w:multiLevelType w:val="hybridMultilevel"/>
    <w:tmpl w:val="2CDA00F2"/>
    <w:lvl w:ilvl="0" w:tplc="2E5AAE3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363E5E"/>
    <w:multiLevelType w:val="hybridMultilevel"/>
    <w:tmpl w:val="FA60F280"/>
    <w:lvl w:ilvl="0" w:tplc="45B23014">
      <w:start w:val="2"/>
      <w:numFmt w:val="bullet"/>
      <w:lvlText w:val="-"/>
      <w:lvlJc w:val="left"/>
      <w:pPr>
        <w:ind w:left="405" w:hanging="360"/>
      </w:pPr>
      <w:rPr>
        <w:rFonts w:ascii="Calibri" w:eastAsiaTheme="minorHAnsi" w:hAnsi="Calibri" w:cs="Calibri" w:hint="default"/>
      </w:rPr>
    </w:lvl>
    <w:lvl w:ilvl="1" w:tplc="080C0003">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8"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8"/>
  </w:num>
  <w:num w:numId="6">
    <w:abstractNumId w:val="9"/>
  </w:num>
  <w:num w:numId="7">
    <w:abstractNumId w:val="9"/>
  </w:num>
  <w:num w:numId="8">
    <w:abstractNumId w:val="3"/>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589B"/>
    <w:rsid w:val="00052E26"/>
    <w:rsid w:val="000606F4"/>
    <w:rsid w:val="00065F07"/>
    <w:rsid w:val="00072F3B"/>
    <w:rsid w:val="000B40C2"/>
    <w:rsid w:val="000B66EF"/>
    <w:rsid w:val="000F785A"/>
    <w:rsid w:val="00142352"/>
    <w:rsid w:val="00151713"/>
    <w:rsid w:val="00193F9B"/>
    <w:rsid w:val="00194937"/>
    <w:rsid w:val="001D4B8C"/>
    <w:rsid w:val="00213290"/>
    <w:rsid w:val="002251A0"/>
    <w:rsid w:val="002522AF"/>
    <w:rsid w:val="00287624"/>
    <w:rsid w:val="002A3F32"/>
    <w:rsid w:val="002A4ACD"/>
    <w:rsid w:val="002A74D2"/>
    <w:rsid w:val="002D2304"/>
    <w:rsid w:val="002D50E6"/>
    <w:rsid w:val="002E13EE"/>
    <w:rsid w:val="002E4F56"/>
    <w:rsid w:val="002E7213"/>
    <w:rsid w:val="003022D7"/>
    <w:rsid w:val="003B3F57"/>
    <w:rsid w:val="003B4C1C"/>
    <w:rsid w:val="003D255D"/>
    <w:rsid w:val="003E7C9B"/>
    <w:rsid w:val="00422046"/>
    <w:rsid w:val="004420CB"/>
    <w:rsid w:val="00444DAA"/>
    <w:rsid w:val="00465C44"/>
    <w:rsid w:val="004950D5"/>
    <w:rsid w:val="004A669F"/>
    <w:rsid w:val="004B3AA4"/>
    <w:rsid w:val="004F36C3"/>
    <w:rsid w:val="004F4498"/>
    <w:rsid w:val="00502FA7"/>
    <w:rsid w:val="00517943"/>
    <w:rsid w:val="0052005D"/>
    <w:rsid w:val="005278AF"/>
    <w:rsid w:val="0053258D"/>
    <w:rsid w:val="00550F11"/>
    <w:rsid w:val="0057200B"/>
    <w:rsid w:val="00572767"/>
    <w:rsid w:val="005A4C7D"/>
    <w:rsid w:val="005B11CD"/>
    <w:rsid w:val="005D7355"/>
    <w:rsid w:val="005F4C2A"/>
    <w:rsid w:val="00605DEA"/>
    <w:rsid w:val="00667911"/>
    <w:rsid w:val="0068109E"/>
    <w:rsid w:val="006A5DAE"/>
    <w:rsid w:val="006B7B93"/>
    <w:rsid w:val="006C0072"/>
    <w:rsid w:val="006D5ED7"/>
    <w:rsid w:val="006E617E"/>
    <w:rsid w:val="00713878"/>
    <w:rsid w:val="00716DAD"/>
    <w:rsid w:val="00723376"/>
    <w:rsid w:val="00763852"/>
    <w:rsid w:val="00780B98"/>
    <w:rsid w:val="007928BF"/>
    <w:rsid w:val="007A10B0"/>
    <w:rsid w:val="007A33A4"/>
    <w:rsid w:val="007B75A5"/>
    <w:rsid w:val="007F2605"/>
    <w:rsid w:val="00810D4C"/>
    <w:rsid w:val="00820488"/>
    <w:rsid w:val="008206B3"/>
    <w:rsid w:val="00826D28"/>
    <w:rsid w:val="008272DE"/>
    <w:rsid w:val="00831B43"/>
    <w:rsid w:val="0084605D"/>
    <w:rsid w:val="00852979"/>
    <w:rsid w:val="008A2294"/>
    <w:rsid w:val="008A5ACB"/>
    <w:rsid w:val="0091131E"/>
    <w:rsid w:val="009267F7"/>
    <w:rsid w:val="009409E9"/>
    <w:rsid w:val="00950ABD"/>
    <w:rsid w:val="00954D77"/>
    <w:rsid w:val="00974FAE"/>
    <w:rsid w:val="00977960"/>
    <w:rsid w:val="009A0B7B"/>
    <w:rsid w:val="009C45C1"/>
    <w:rsid w:val="009E663F"/>
    <w:rsid w:val="00A56F5A"/>
    <w:rsid w:val="00A67D4E"/>
    <w:rsid w:val="00A764C5"/>
    <w:rsid w:val="00A91D1D"/>
    <w:rsid w:val="00A94056"/>
    <w:rsid w:val="00AA24E5"/>
    <w:rsid w:val="00AB1585"/>
    <w:rsid w:val="00AC62FA"/>
    <w:rsid w:val="00AD503C"/>
    <w:rsid w:val="00AD5E45"/>
    <w:rsid w:val="00AE343D"/>
    <w:rsid w:val="00B135EF"/>
    <w:rsid w:val="00B30870"/>
    <w:rsid w:val="00B479B2"/>
    <w:rsid w:val="00B56630"/>
    <w:rsid w:val="00B67A81"/>
    <w:rsid w:val="00B9207E"/>
    <w:rsid w:val="00B962EE"/>
    <w:rsid w:val="00BA5B90"/>
    <w:rsid w:val="00BA7B97"/>
    <w:rsid w:val="00BB19D1"/>
    <w:rsid w:val="00BB2F46"/>
    <w:rsid w:val="00BC675A"/>
    <w:rsid w:val="00BF0199"/>
    <w:rsid w:val="00BF3B30"/>
    <w:rsid w:val="00C11CD7"/>
    <w:rsid w:val="00C708B0"/>
    <w:rsid w:val="00C907A3"/>
    <w:rsid w:val="00C90CC4"/>
    <w:rsid w:val="00CA0AE0"/>
    <w:rsid w:val="00CA2E1C"/>
    <w:rsid w:val="00CB581E"/>
    <w:rsid w:val="00CE492D"/>
    <w:rsid w:val="00D06767"/>
    <w:rsid w:val="00D5271B"/>
    <w:rsid w:val="00D9148E"/>
    <w:rsid w:val="00DE062A"/>
    <w:rsid w:val="00E06ECE"/>
    <w:rsid w:val="00E24ADF"/>
    <w:rsid w:val="00E40AC4"/>
    <w:rsid w:val="00E47497"/>
    <w:rsid w:val="00E54466"/>
    <w:rsid w:val="00E57F33"/>
    <w:rsid w:val="00E64753"/>
    <w:rsid w:val="00E65BCC"/>
    <w:rsid w:val="00E73B04"/>
    <w:rsid w:val="00E92C6E"/>
    <w:rsid w:val="00EC680F"/>
    <w:rsid w:val="00EE12D2"/>
    <w:rsid w:val="00EF28B2"/>
    <w:rsid w:val="00EF5910"/>
    <w:rsid w:val="00F14B43"/>
    <w:rsid w:val="00F21432"/>
    <w:rsid w:val="00F30CB5"/>
    <w:rsid w:val="00F34380"/>
    <w:rsid w:val="00F62C0F"/>
    <w:rsid w:val="00F62EE7"/>
    <w:rsid w:val="00F9385C"/>
    <w:rsid w:val="00FA456C"/>
    <w:rsid w:val="00FE2353"/>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1052C96"/>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 w:type="paragraph" w:styleId="Retraitcorpsdetexte3">
    <w:name w:val="Body Text Indent 3"/>
    <w:basedOn w:val="Normal"/>
    <w:link w:val="Retraitcorpsdetexte3Car"/>
    <w:uiPriority w:val="99"/>
    <w:semiHidden/>
    <w:unhideWhenUsed/>
    <w:rsid w:val="0072337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23376"/>
    <w:rPr>
      <w:rFonts w:ascii="Times New Roman" w:eastAsia="Lucida Sans Unicode" w:hAnsi="Times New Roman" w:cs="Tahoma"/>
      <w:kern w:val="3"/>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10592447">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2E7072"/>
    <w:rsid w:val="00697780"/>
    <w:rsid w:val="006B63A9"/>
    <w:rsid w:val="009D290D"/>
    <w:rsid w:val="00A67805"/>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CB5ADD-E466-4738-98FE-8F07AE0D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4103</Words>
  <Characters>22568</Characters>
  <Application>Microsoft Office Word</Application>
  <DocSecurity>4</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2</cp:revision>
  <cp:lastPrinted>2019-03-12T10:08:00Z</cp:lastPrinted>
  <dcterms:created xsi:type="dcterms:W3CDTF">2022-10-19T13:35:00Z</dcterms:created>
  <dcterms:modified xsi:type="dcterms:W3CDTF">2022-10-19T13:35:00Z</dcterms:modified>
</cp:coreProperties>
</file>